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Arial"/>
          <w:b/>
          <w:bCs/>
          <w:sz w:val="36"/>
          <w:szCs w:val="36"/>
        </w:rPr>
      </w:pPr>
      <w:bookmarkStart w:id="1" w:name="_GoBack"/>
      <w:bookmarkEnd w:id="1"/>
    </w:p>
    <w:p>
      <w:pPr>
        <w:jc w:val="center"/>
        <w:rPr>
          <w:rFonts w:ascii="宋体" w:hAnsi="宋体" w:eastAsia="宋体" w:cs="Arial"/>
          <w:b/>
          <w:bCs/>
          <w:sz w:val="36"/>
          <w:szCs w:val="36"/>
        </w:rPr>
      </w:pPr>
      <w:r>
        <w:rPr>
          <w:rFonts w:hint="eastAsia" w:ascii="宋体" w:hAnsi="宋体" w:eastAsia="宋体" w:cs="Arial"/>
          <w:b/>
          <w:bCs/>
          <w:sz w:val="36"/>
          <w:szCs w:val="36"/>
        </w:rPr>
        <w:t>内蒙古自治区公共资源交易管理服务中心交易系统一体化整合及大数据等业务应用开发项目</w:t>
      </w:r>
    </w:p>
    <w:p>
      <w:pPr>
        <w:jc w:val="center"/>
        <w:rPr>
          <w:rFonts w:ascii="宋体" w:hAnsi="宋体" w:eastAsia="宋体" w:cs="Arial"/>
          <w:b/>
          <w:bCs/>
          <w:sz w:val="36"/>
          <w:szCs w:val="36"/>
        </w:rPr>
      </w:pPr>
      <w:r>
        <w:rPr>
          <w:rFonts w:hint="eastAsia" w:ascii="宋体" w:hAnsi="宋体" w:eastAsia="宋体" w:cs="Arial"/>
          <w:b/>
          <w:bCs/>
          <w:sz w:val="36"/>
          <w:szCs w:val="36"/>
        </w:rPr>
        <w:t>项目支出</w:t>
      </w:r>
      <w:r>
        <w:rPr>
          <w:rFonts w:ascii="宋体" w:hAnsi="宋体" w:eastAsia="宋体" w:cs="Arial"/>
          <w:b/>
          <w:bCs/>
          <w:sz w:val="36"/>
          <w:szCs w:val="36"/>
        </w:rPr>
        <w:t>绩效</w:t>
      </w:r>
      <w:r>
        <w:rPr>
          <w:rFonts w:hint="eastAsia" w:ascii="宋体" w:hAnsi="宋体" w:eastAsia="宋体" w:cs="Arial"/>
          <w:b/>
          <w:bCs/>
          <w:sz w:val="36"/>
          <w:szCs w:val="36"/>
        </w:rPr>
        <w:t>评价报告</w:t>
      </w:r>
    </w:p>
    <w:p>
      <w:pPr>
        <w:spacing w:after="156" w:afterLines="50"/>
        <w:jc w:val="right"/>
        <w:rPr>
          <w:rFonts w:ascii="Times New Roman" w:hAnsi="Times New Roman" w:eastAsia="宋体" w:cs="Times New Roman"/>
          <w:sz w:val="18"/>
          <w:szCs w:val="18"/>
        </w:rPr>
      </w:pPr>
    </w:p>
    <w:p>
      <w:pPr>
        <w:spacing w:after="156" w:afterLines="50"/>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为全面实施预算绩效管理，提高财政资源配置效率和使用效益，根据《中共中央国务院关于全面实施预算绩效管理的意见》（中发〔</w:t>
      </w:r>
      <w:r>
        <w:rPr>
          <w:rFonts w:ascii="宋体" w:hAnsi="宋体" w:eastAsia="宋体" w:cs="Times New Roman"/>
          <w:sz w:val="28"/>
          <w:szCs w:val="28"/>
        </w:rPr>
        <w:t>2018〕34号）</w:t>
      </w:r>
      <w:r>
        <w:rPr>
          <w:rFonts w:hint="eastAsia" w:ascii="宋体" w:hAnsi="宋体" w:eastAsia="宋体" w:cs="Times New Roman"/>
          <w:sz w:val="28"/>
          <w:szCs w:val="28"/>
        </w:rPr>
        <w:t>、</w:t>
      </w:r>
      <w:r>
        <w:rPr>
          <w:rFonts w:ascii="宋体" w:hAnsi="宋体" w:eastAsia="宋体" w:cs="Times New Roman"/>
          <w:sz w:val="28"/>
          <w:szCs w:val="28"/>
        </w:rPr>
        <w:t>《</w:t>
      </w:r>
      <w:r>
        <w:rPr>
          <w:rFonts w:hint="eastAsia" w:ascii="宋体" w:hAnsi="宋体" w:eastAsia="宋体" w:cs="Times New Roman"/>
          <w:sz w:val="28"/>
          <w:szCs w:val="28"/>
        </w:rPr>
        <w:t>内蒙古自治区财政厅关于开展</w:t>
      </w:r>
      <w:r>
        <w:rPr>
          <w:rFonts w:ascii="宋体" w:hAnsi="宋体" w:eastAsia="宋体" w:cs="Times New Roman"/>
          <w:sz w:val="28"/>
          <w:szCs w:val="28"/>
        </w:rPr>
        <w:t>2021年度自治区本级单位绩效自评和部门评价工作的通知》（</w:t>
      </w:r>
      <w:r>
        <w:rPr>
          <w:rFonts w:hint="eastAsia" w:ascii="宋体" w:hAnsi="宋体" w:eastAsia="宋体" w:cs="Times New Roman"/>
          <w:sz w:val="28"/>
          <w:szCs w:val="28"/>
        </w:rPr>
        <w:t>内财监</w:t>
      </w:r>
      <w:r>
        <w:rPr>
          <w:rFonts w:ascii="宋体" w:hAnsi="宋体" w:eastAsia="宋体" w:cs="Times New Roman"/>
          <w:sz w:val="28"/>
          <w:szCs w:val="28"/>
        </w:rPr>
        <w:t xml:space="preserve"> [2022]644号）</w:t>
      </w:r>
      <w:r>
        <w:rPr>
          <w:rFonts w:hint="eastAsia" w:ascii="宋体" w:hAnsi="宋体" w:eastAsia="宋体" w:cs="Times New Roman"/>
          <w:sz w:val="28"/>
          <w:szCs w:val="28"/>
        </w:rPr>
        <w:t>，对交易系统一体化整合及大数据等业务应用开发项目开展了绩效评价，有关情况如下：</w:t>
      </w:r>
      <w:r>
        <w:rPr>
          <w:rFonts w:ascii="宋体" w:hAnsi="宋体" w:eastAsia="宋体" w:cs="Times New Roman"/>
          <w:sz w:val="28"/>
          <w:szCs w:val="28"/>
        </w:rPr>
        <w:t xml:space="preserve"> </w:t>
      </w:r>
    </w:p>
    <w:p>
      <w:pPr>
        <w:spacing w:before="156" w:beforeLines="50" w:line="360" w:lineRule="auto"/>
        <w:ind w:firstLine="562" w:firstLineChars="200"/>
        <w:rPr>
          <w:rFonts w:ascii="宋体" w:hAnsi="宋体" w:eastAsia="宋体"/>
          <w:b/>
          <w:sz w:val="28"/>
          <w:szCs w:val="28"/>
        </w:rPr>
      </w:pPr>
      <w:r>
        <w:rPr>
          <w:rFonts w:hint="eastAsia" w:ascii="宋体" w:hAnsi="宋体" w:eastAsia="宋体"/>
          <w:b/>
          <w:sz w:val="28"/>
          <w:szCs w:val="28"/>
        </w:rPr>
        <w:t>一、基本情况</w:t>
      </w:r>
    </w:p>
    <w:p>
      <w:pPr>
        <w:spacing w:line="360" w:lineRule="auto"/>
        <w:ind w:firstLine="562" w:firstLineChars="200"/>
        <w:outlineLvl w:val="0"/>
        <w:rPr>
          <w:rFonts w:ascii="宋体" w:hAnsi="宋体" w:eastAsia="宋体" w:cs="仿宋_GB2312"/>
          <w:b/>
          <w:sz w:val="28"/>
          <w:szCs w:val="28"/>
        </w:rPr>
      </w:pPr>
      <w:r>
        <w:rPr>
          <w:rFonts w:hint="eastAsia" w:ascii="宋体" w:hAnsi="宋体" w:eastAsia="宋体"/>
          <w:b/>
          <w:sz w:val="28"/>
          <w:szCs w:val="28"/>
        </w:rPr>
        <w:t>（</w:t>
      </w:r>
      <w:r>
        <w:rPr>
          <w:rFonts w:hint="eastAsia" w:ascii="宋体" w:hAnsi="宋体" w:eastAsia="宋体" w:cs="仿宋_GB2312"/>
          <w:b/>
          <w:sz w:val="28"/>
          <w:szCs w:val="28"/>
        </w:rPr>
        <w:t>一）项目概况</w:t>
      </w:r>
    </w:p>
    <w:p>
      <w:pPr>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根据《国务院办公厅转发国家发展改革委关于深化公共资源交易平台整合共享指导意见的通知》（国办函〔2019〕41号）和《内蒙古自治区人民政府办公厅关于印发自治区深化公共资源交易平台整合共享实施方案的通知》（内政办发〔2019〕41号）文件精神，为实现公共资源交易平台纵向全面贯通、横向互联互通，制度规则统一、技术标准统一、信息资源共享，公共资源交易项目实施全流程电子化交易，全过程在线实时监管，切实提高公共资源配置效率，此项目支出以提高资源配置、服务效率和降低市场交易主体运营成本为出发点，以在线完成招标投标交易全流程电子化工作为落脚点，采购公共资源交易系统一体化整合、自然资源交易一张网、工程项目不见面开标系统和从业人员在线培训系统等内容。</w:t>
      </w:r>
    </w:p>
    <w:p>
      <w:pPr>
        <w:spacing w:line="600" w:lineRule="exact"/>
        <w:ind w:firstLine="562" w:firstLineChars="200"/>
        <w:rPr>
          <w:rFonts w:ascii="宋体" w:hAnsi="宋体" w:eastAsia="宋体"/>
          <w:b/>
          <w:sz w:val="28"/>
          <w:szCs w:val="28"/>
        </w:rPr>
      </w:pPr>
      <w:r>
        <w:rPr>
          <w:rFonts w:hint="eastAsia" w:ascii="宋体" w:hAnsi="宋体" w:eastAsia="宋体"/>
          <w:b/>
          <w:sz w:val="28"/>
          <w:szCs w:val="28"/>
        </w:rPr>
        <w:t>（二）项目绩效目标</w:t>
      </w:r>
    </w:p>
    <w:p>
      <w:pPr>
        <w:spacing w:line="600" w:lineRule="exact"/>
        <w:ind w:firstLine="562" w:firstLineChars="200"/>
        <w:rPr>
          <w:rFonts w:ascii="宋体" w:hAnsi="宋体" w:eastAsia="宋体" w:cs="仿宋_GB2312"/>
          <w:b/>
          <w:sz w:val="28"/>
          <w:szCs w:val="28"/>
        </w:rPr>
      </w:pPr>
      <w:r>
        <w:rPr>
          <w:rFonts w:hint="eastAsia" w:ascii="宋体" w:hAnsi="宋体" w:eastAsia="宋体" w:cs="仿宋_GB2312"/>
          <w:b/>
          <w:sz w:val="28"/>
          <w:szCs w:val="28"/>
        </w:rPr>
        <w:t>1、总体绩效目标</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根据《国务院办公厅转发国家发展改革委关于深化公共资源交易平台整合共享指导意见的通知》（国办函〔2019〕41号）和《内蒙古自治区人民政府办公厅关于印发自治区深化公共资源交易平台整合共享实施方案的通知》（内政办发〔2019〕41号）文件精神，为实现公共资源交易平台纵向全面贯通、横向互联互通，制度规则统一、技术标准统一、信息资源共享，公共资源交易项目实施全流程电子化交易，全过程在线实时监管，切实提高公共资源配置效率，此项目支出以提高资源配置、服务效率和降低市场交易主体运营成本为出发点，以在线完成招标投标交易全流程电子化工作为落脚点，采购公共资源交易系统一体化整合、自然资源交易一张网、工程项目不见面开标系统和从业人员在线培训系统等内容。</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2、年度绩效目标</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落实《国务院办公厅转发国家发展改革委关于深化公共资源交易平台整合共享指导意见的通知》（国办函〔</w:t>
      </w:r>
      <w:r>
        <w:rPr>
          <w:rFonts w:ascii="宋体" w:hAnsi="宋体" w:eastAsia="宋体" w:cs="仿宋_GB2312"/>
          <w:sz w:val="28"/>
          <w:szCs w:val="28"/>
        </w:rPr>
        <w:t>2019〕41号）和《内蒙古自治区人民政府办公厅关于印发自治区深化公共资源交易平台整合共享实施方案的通知》（内政办发〔2019〕41号）文件精神，实现公共资源交易平台纵向全面贯通、横向互联互通，制度规则统一、技术标准统一、信息资源共享，公共资源交易项目实施全流程电子化交易和全过程在线实时监管，切实提高公共资源配置效率，提高公共资源交易各方交易主体的满意度。</w:t>
      </w:r>
    </w:p>
    <w:p>
      <w:pPr>
        <w:spacing w:line="600" w:lineRule="exact"/>
        <w:ind w:firstLine="562" w:firstLineChars="200"/>
        <w:rPr>
          <w:rFonts w:ascii="宋体" w:hAnsi="宋体" w:eastAsia="宋体"/>
          <w:b/>
          <w:sz w:val="28"/>
          <w:szCs w:val="28"/>
        </w:rPr>
      </w:pPr>
      <w:r>
        <w:rPr>
          <w:rFonts w:hint="eastAsia" w:ascii="宋体" w:hAnsi="宋体" w:eastAsia="宋体"/>
          <w:b/>
          <w:sz w:val="28"/>
          <w:szCs w:val="28"/>
        </w:rPr>
        <w:t>二、绩效评价工作开展情况</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（一）绩效评价目的、对象和范围。</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为进一步加强预算管理，强化支出责任，提高财政资</w:t>
      </w:r>
      <w:r>
        <w:rPr>
          <w:rFonts w:hint="eastAsia" w:ascii="宋体" w:hAnsi="宋体" w:eastAsia="宋体" w:cs="仿宋_GB2312"/>
          <w:sz w:val="28"/>
          <w:szCs w:val="28"/>
        </w:rPr>
        <w:t>金使用效益，根据《内蒙古自治区财政厅关于开展2021年度自治区本级单位绩效自评和部门评价工作的通知》（内财监 [20</w:t>
      </w:r>
      <w:r>
        <w:rPr>
          <w:rFonts w:ascii="宋体" w:hAnsi="宋体" w:eastAsia="宋体" w:cs="仿宋_GB2312"/>
          <w:sz w:val="28"/>
          <w:szCs w:val="28"/>
        </w:rPr>
        <w:t>22</w:t>
      </w:r>
      <w:r>
        <w:rPr>
          <w:rFonts w:hint="eastAsia" w:ascii="宋体" w:hAnsi="宋体" w:eastAsia="宋体" w:cs="仿宋_GB2312"/>
          <w:sz w:val="28"/>
          <w:szCs w:val="28"/>
        </w:rPr>
        <w:t>]</w:t>
      </w:r>
      <w:r>
        <w:rPr>
          <w:rFonts w:ascii="宋体" w:hAnsi="宋体" w:eastAsia="宋体" w:cs="仿宋_GB2312"/>
          <w:sz w:val="28"/>
          <w:szCs w:val="28"/>
        </w:rPr>
        <w:t>644</w:t>
      </w:r>
      <w:r>
        <w:rPr>
          <w:rFonts w:hint="eastAsia" w:ascii="宋体" w:hAnsi="宋体" w:eastAsia="宋体" w:cs="仿宋_GB2312"/>
          <w:sz w:val="28"/>
          <w:szCs w:val="28"/>
        </w:rPr>
        <w:t>号）、《内蒙古自治区项目支出绩效评价管理办法的通知》（内政办发[2021]5号）等文件要求</w:t>
      </w:r>
      <w:r>
        <w:rPr>
          <w:rFonts w:ascii="宋体" w:hAnsi="宋体" w:eastAsia="宋体" w:cs="仿宋_GB2312"/>
          <w:sz w:val="28"/>
          <w:szCs w:val="28"/>
        </w:rPr>
        <w:t>，通</w:t>
      </w:r>
      <w:r>
        <w:rPr>
          <w:rFonts w:hint="eastAsia" w:ascii="宋体" w:hAnsi="宋体" w:eastAsia="宋体" w:cs="仿宋_GB2312"/>
          <w:sz w:val="28"/>
          <w:szCs w:val="28"/>
        </w:rPr>
        <w:t>过绩效评价，掌握资金的使用情况和取得的效果，衡量资金使用的预期目标实现程度，总结项目管理经验，分析存在问题及原因，为进一步加强和规范项目资金管理，完善项目和资金管理办法，优化支出结构提供决策参考和依据。在精心组织、认真调查，严格评价的基础上，编写绩效自评报告。</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（二）绩效评价原则、评价指标体系（附表说明）、评价方法、评价标准等</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1.</w:t>
      </w:r>
      <w:r>
        <w:rPr>
          <w:rFonts w:ascii="宋体" w:hAnsi="宋体" w:eastAsia="宋体" w:cs="仿宋_GB2312"/>
          <w:sz w:val="28"/>
          <w:szCs w:val="28"/>
        </w:rPr>
        <w:t>绩效评价原则</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（1）</w:t>
      </w:r>
      <w:r>
        <w:rPr>
          <w:rFonts w:hint="eastAsia" w:ascii="宋体" w:hAnsi="宋体" w:eastAsia="宋体" w:cs="仿宋_GB2312"/>
          <w:sz w:val="28"/>
          <w:szCs w:val="28"/>
        </w:rPr>
        <w:t>现场评价</w:t>
      </w:r>
      <w:r>
        <w:rPr>
          <w:rFonts w:ascii="宋体" w:hAnsi="宋体" w:eastAsia="宋体" w:cs="仿宋_GB2312"/>
          <w:sz w:val="28"/>
          <w:szCs w:val="28"/>
        </w:rPr>
        <w:t>原则：</w:t>
      </w:r>
      <w:r>
        <w:rPr>
          <w:rFonts w:hint="eastAsia" w:ascii="宋体" w:hAnsi="宋体" w:eastAsia="宋体" w:cs="仿宋_GB2312"/>
          <w:sz w:val="28"/>
          <w:szCs w:val="28"/>
        </w:rPr>
        <w:t>现场对有关情况进行核实、对所掌握的资料进行分析、对项目进行评价的过程</w:t>
      </w:r>
      <w:r>
        <w:rPr>
          <w:rFonts w:ascii="宋体" w:hAnsi="宋体" w:eastAsia="宋体" w:cs="仿宋_GB2312"/>
          <w:sz w:val="28"/>
          <w:szCs w:val="28"/>
        </w:rPr>
        <w:t>。</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（2）</w:t>
      </w:r>
      <w:r>
        <w:rPr>
          <w:rFonts w:hint="eastAsia" w:ascii="宋体" w:hAnsi="宋体" w:eastAsia="宋体" w:cs="仿宋_GB2312"/>
          <w:sz w:val="28"/>
          <w:szCs w:val="28"/>
        </w:rPr>
        <w:t>非现场评价</w:t>
      </w:r>
      <w:r>
        <w:rPr>
          <w:rFonts w:ascii="宋体" w:hAnsi="宋体" w:eastAsia="宋体" w:cs="仿宋_GB2312"/>
          <w:sz w:val="28"/>
          <w:szCs w:val="28"/>
        </w:rPr>
        <w:t>原则：</w:t>
      </w:r>
      <w:r>
        <w:rPr>
          <w:rFonts w:hint="eastAsia" w:ascii="宋体" w:hAnsi="宋体" w:eastAsia="宋体" w:cs="仿宋_GB2312"/>
          <w:sz w:val="28"/>
          <w:szCs w:val="28"/>
        </w:rPr>
        <w:t>对项目相关资料和各种公开数据资料进行分类、汇总和分析，对项目进行评价的过程</w:t>
      </w:r>
      <w:r>
        <w:rPr>
          <w:rFonts w:ascii="宋体" w:hAnsi="宋体" w:eastAsia="宋体" w:cs="仿宋_GB2312"/>
          <w:sz w:val="28"/>
          <w:szCs w:val="28"/>
        </w:rPr>
        <w:t>。</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 xml:space="preserve"> </w:t>
      </w:r>
      <w:r>
        <w:rPr>
          <w:rFonts w:hint="eastAsia" w:ascii="宋体" w:hAnsi="宋体" w:eastAsia="宋体" w:cs="仿宋_GB2312"/>
          <w:sz w:val="28"/>
          <w:szCs w:val="28"/>
        </w:rPr>
        <w:t>2.评价指标体系</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充分考虑指标参数设置的合理性，结合</w:t>
      </w:r>
      <w:r>
        <w:rPr>
          <w:rFonts w:ascii="宋体" w:hAnsi="宋体" w:eastAsia="宋体" w:cs="仿宋_GB2312"/>
          <w:sz w:val="28"/>
          <w:szCs w:val="28"/>
        </w:rPr>
        <w:t>绩效评价基本原理，</w:t>
      </w:r>
      <w:r>
        <w:rPr>
          <w:rFonts w:hint="eastAsia" w:ascii="宋体" w:hAnsi="宋体" w:eastAsia="宋体" w:cs="仿宋_GB2312"/>
          <w:sz w:val="28"/>
          <w:szCs w:val="28"/>
        </w:rPr>
        <w:t>严格</w:t>
      </w:r>
      <w:r>
        <w:rPr>
          <w:rFonts w:ascii="宋体" w:hAnsi="宋体" w:eastAsia="宋体" w:cs="仿宋_GB2312"/>
          <w:sz w:val="28"/>
          <w:szCs w:val="28"/>
        </w:rPr>
        <w:t>按照</w:t>
      </w:r>
      <w:r>
        <w:rPr>
          <w:rFonts w:hint="eastAsia" w:ascii="宋体" w:hAnsi="宋体" w:eastAsia="宋体" w:cs="仿宋_GB2312"/>
          <w:sz w:val="28"/>
          <w:szCs w:val="28"/>
        </w:rPr>
        <w:t>《内蒙古自治区项目支出绩效评价管理办法》的要求，科学建立评价</w:t>
      </w:r>
      <w:r>
        <w:rPr>
          <w:rFonts w:ascii="宋体" w:hAnsi="宋体" w:eastAsia="宋体" w:cs="仿宋_GB2312"/>
          <w:sz w:val="28"/>
          <w:szCs w:val="28"/>
        </w:rPr>
        <w:t>指标体系</w:t>
      </w:r>
      <w:r>
        <w:rPr>
          <w:rFonts w:hint="eastAsia" w:ascii="宋体" w:hAnsi="宋体" w:eastAsia="宋体" w:cs="仿宋_GB2312"/>
          <w:sz w:val="28"/>
          <w:szCs w:val="28"/>
        </w:rPr>
        <w:t>，体系中</w:t>
      </w:r>
      <w:r>
        <w:rPr>
          <w:rFonts w:ascii="宋体" w:hAnsi="宋体" w:eastAsia="宋体" w:cs="仿宋_GB2312"/>
          <w:sz w:val="28"/>
          <w:szCs w:val="28"/>
        </w:rPr>
        <w:t>包括指标含义、分值权重、</w:t>
      </w:r>
      <w:r>
        <w:rPr>
          <w:rFonts w:hint="eastAsia" w:ascii="宋体" w:hAnsi="宋体" w:eastAsia="宋体" w:cs="仿宋_GB2312"/>
          <w:sz w:val="28"/>
          <w:szCs w:val="28"/>
        </w:rPr>
        <w:t>评价方法等</w:t>
      </w:r>
      <w:r>
        <w:rPr>
          <w:rFonts w:ascii="宋体" w:hAnsi="宋体" w:eastAsia="宋体" w:cs="仿宋_GB2312"/>
          <w:sz w:val="28"/>
          <w:szCs w:val="28"/>
        </w:rPr>
        <w:t>。</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3.评价标准</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本项目评价标准严格按照《内蒙古自治区项目支出绩效评价管理办法》的要求，结合绩效评价原理合理制定。</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4.评价方法</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本项目评价方法采用成本效益分析法、比较法、项目档案查阅法等方法相结合。绩效评价指标体系及得分情况详见附件。</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（三）绩效评价工作过程。</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评价内容主要包括交易平台建设、运行、服务及互联互通情况等。</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1</w:t>
      </w:r>
      <w:r>
        <w:rPr>
          <w:rFonts w:ascii="宋体" w:hAnsi="宋体" w:eastAsia="宋体" w:cs="仿宋_GB2312"/>
          <w:sz w:val="28"/>
          <w:szCs w:val="28"/>
        </w:rPr>
        <w:t>.</w:t>
      </w:r>
      <w:r>
        <w:rPr>
          <w:rFonts w:hint="eastAsia" w:ascii="宋体" w:hAnsi="宋体" w:eastAsia="宋体" w:cs="仿宋_GB2312"/>
          <w:sz w:val="28"/>
          <w:szCs w:val="28"/>
        </w:rPr>
        <w:t>制度建设：交易平台内控管理、业务流程、保证金收退、安全防范、风险防控、应急预案等制度制定情况。</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2</w:t>
      </w:r>
      <w:r>
        <w:rPr>
          <w:rFonts w:ascii="宋体" w:hAnsi="宋体" w:eastAsia="宋体" w:cs="仿宋_GB2312"/>
          <w:sz w:val="28"/>
          <w:szCs w:val="28"/>
        </w:rPr>
        <w:t>.</w:t>
      </w:r>
      <w:r>
        <w:rPr>
          <w:rFonts w:hint="eastAsia" w:ascii="宋体" w:hAnsi="宋体" w:eastAsia="宋体" w:cs="仿宋_GB2312"/>
          <w:sz w:val="28"/>
          <w:szCs w:val="28"/>
        </w:rPr>
        <w:t>交易受理：交易主体、交易项目的进场登记；申请进场项目资料完整性核验；信息发布等。</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3</w:t>
      </w:r>
      <w:r>
        <w:rPr>
          <w:rFonts w:ascii="宋体" w:hAnsi="宋体" w:eastAsia="宋体" w:cs="仿宋_GB2312"/>
          <w:sz w:val="28"/>
          <w:szCs w:val="28"/>
        </w:rPr>
        <w:t>.</w:t>
      </w:r>
      <w:r>
        <w:rPr>
          <w:rFonts w:hint="eastAsia" w:ascii="宋体" w:hAnsi="宋体" w:eastAsia="宋体" w:cs="仿宋_GB2312"/>
          <w:sz w:val="28"/>
          <w:szCs w:val="28"/>
        </w:rPr>
        <w:t>交易组织：交易准备阶段的设备调试；交易场所的服务指引；有关环节的现场签到；交易时间及场地的统筹安排；隔夜评标评审安排；交易现场突发情况处理等。</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4</w:t>
      </w:r>
      <w:r>
        <w:rPr>
          <w:rFonts w:ascii="宋体" w:hAnsi="宋体" w:eastAsia="宋体" w:cs="仿宋_GB2312"/>
          <w:sz w:val="28"/>
          <w:szCs w:val="28"/>
        </w:rPr>
        <w:t>.</w:t>
      </w:r>
      <w:r>
        <w:rPr>
          <w:rFonts w:hint="eastAsia" w:ascii="宋体" w:hAnsi="宋体" w:eastAsia="宋体" w:cs="仿宋_GB2312"/>
          <w:sz w:val="28"/>
          <w:szCs w:val="28"/>
        </w:rPr>
        <w:t>交易评审：专家抽取终端的使用和维护；专家抽取的资料审核、登记、打印、保密、存档等；评标区内的用餐管理；评标现场突发情况处理等。</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5</w:t>
      </w:r>
      <w:r>
        <w:rPr>
          <w:rFonts w:ascii="宋体" w:hAnsi="宋体" w:eastAsia="宋体" w:cs="仿宋_GB2312"/>
          <w:sz w:val="28"/>
          <w:szCs w:val="28"/>
        </w:rPr>
        <w:t>.</w:t>
      </w:r>
      <w:r>
        <w:rPr>
          <w:rFonts w:hint="eastAsia" w:ascii="宋体" w:hAnsi="宋体" w:eastAsia="宋体" w:cs="仿宋_GB2312"/>
          <w:sz w:val="28"/>
          <w:szCs w:val="28"/>
        </w:rPr>
        <w:t>交易见证：评标区人员身份核验；交易秩序的维护；投标保证金收退情况；交易活动记录；交易项目档案及音视频电子档案的保存、管理等。</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6</w:t>
      </w:r>
      <w:r>
        <w:rPr>
          <w:rFonts w:ascii="宋体" w:hAnsi="宋体" w:eastAsia="宋体" w:cs="仿宋_GB2312"/>
          <w:sz w:val="28"/>
          <w:szCs w:val="28"/>
        </w:rPr>
        <w:t>.</w:t>
      </w:r>
      <w:r>
        <w:rPr>
          <w:rFonts w:hint="eastAsia" w:ascii="宋体" w:hAnsi="宋体" w:eastAsia="宋体" w:cs="仿宋_GB2312"/>
          <w:sz w:val="28"/>
          <w:szCs w:val="28"/>
        </w:rPr>
        <w:t>运行安全：网络信息安全、消防安全等方面落实情况。</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7</w:t>
      </w:r>
      <w:r>
        <w:rPr>
          <w:rFonts w:ascii="宋体" w:hAnsi="宋体" w:eastAsia="宋体" w:cs="仿宋_GB2312"/>
          <w:sz w:val="28"/>
          <w:szCs w:val="28"/>
        </w:rPr>
        <w:t>.</w:t>
      </w:r>
      <w:r>
        <w:rPr>
          <w:rFonts w:hint="eastAsia" w:ascii="宋体" w:hAnsi="宋体" w:eastAsia="宋体" w:cs="仿宋_GB2312"/>
          <w:sz w:val="28"/>
          <w:szCs w:val="28"/>
        </w:rPr>
        <w:t>系统联通：电子交易、服务、监管系统及主体诚信库对接情况和数字证书共享互认情况。</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8.</w:t>
      </w:r>
      <w:r>
        <w:rPr>
          <w:rFonts w:hint="eastAsia" w:ascii="宋体" w:hAnsi="宋体" w:eastAsia="宋体" w:cs="仿宋_GB2312"/>
          <w:sz w:val="28"/>
          <w:szCs w:val="28"/>
        </w:rPr>
        <w:t>电子交易系统：全过程电子化交易和远程异地评标对接使用及调度情况。</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9.</w:t>
      </w:r>
      <w:r>
        <w:rPr>
          <w:rFonts w:hint="eastAsia" w:ascii="宋体" w:hAnsi="宋体" w:eastAsia="宋体" w:cs="仿宋_GB2312"/>
          <w:sz w:val="28"/>
          <w:szCs w:val="28"/>
        </w:rPr>
        <w:t>电子服务系统：向自治区公共资源交易公共服务平台推送数据的交易领域和行政区域覆盖面、数据数量及质量、上传及时性等。</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10.</w:t>
      </w:r>
      <w:r>
        <w:rPr>
          <w:rFonts w:hint="eastAsia" w:ascii="宋体" w:hAnsi="宋体" w:eastAsia="宋体" w:cs="仿宋_GB2312"/>
          <w:sz w:val="28"/>
          <w:szCs w:val="28"/>
        </w:rPr>
        <w:t>电子监管系统：向省公共资源交易监管平台推送交易信息、监控音视频信息、监管事项信息的类型、数量、完整性和及时性。</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评价分析：按照《内蒙古自治区项目支出绩效评价管理办法》对各项指标打分情况进行分析。</w:t>
      </w:r>
    </w:p>
    <w:p>
      <w:pPr>
        <w:spacing w:line="360" w:lineRule="auto"/>
        <w:ind w:firstLine="562" w:firstLineChars="200"/>
        <w:rPr>
          <w:rFonts w:ascii="宋体" w:hAnsi="宋体" w:eastAsia="宋体"/>
          <w:sz w:val="28"/>
          <w:szCs w:val="28"/>
        </w:rPr>
      </w:pPr>
      <w:r>
        <w:rPr>
          <w:rFonts w:hint="eastAsia" w:ascii="宋体" w:hAnsi="宋体" w:eastAsia="宋体"/>
          <w:b/>
          <w:sz w:val="28"/>
          <w:szCs w:val="28"/>
        </w:rPr>
        <w:t>三、综合评价情况及评价结论（后附相关评分表）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（一）评分结果</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根据确定的评价方法及评分办法，绩效评价工作组召开评价会，通过数据资料分析，对交易系统一体化整合及大数据等业务应用开发项目项目进行客观评价及评分，</w:t>
      </w:r>
      <w:r>
        <w:rPr>
          <w:rFonts w:ascii="宋体" w:hAnsi="宋体" w:eastAsia="宋体" w:cs="仿宋_GB2312"/>
          <w:sz w:val="28"/>
          <w:szCs w:val="28"/>
        </w:rPr>
        <w:t>最终评分结果：总分为 98 分，绩效评级为“</w:t>
      </w:r>
      <w:r>
        <w:rPr>
          <w:rFonts w:hint="eastAsia" w:ascii="宋体" w:hAnsi="宋体" w:eastAsia="宋体" w:cs="仿宋_GB2312"/>
          <w:sz w:val="28"/>
          <w:szCs w:val="28"/>
        </w:rPr>
        <w:t>优</w:t>
      </w:r>
      <w:r>
        <w:rPr>
          <w:rFonts w:ascii="宋体" w:hAnsi="宋体" w:eastAsia="宋体" w:cs="仿宋_GB2312"/>
          <w:sz w:val="28"/>
          <w:szCs w:val="28"/>
        </w:rPr>
        <w:t>”。具体得分情况见表：</w:t>
      </w:r>
    </w:p>
    <w:p>
      <w:pPr>
        <w:spacing w:line="360" w:lineRule="auto"/>
        <w:ind w:firstLine="560" w:firstLineChars="200"/>
        <w:jc w:val="center"/>
        <w:rPr>
          <w:rFonts w:ascii="宋体" w:hAnsi="宋体" w:eastAsia="宋体"/>
          <w:sz w:val="28"/>
          <w:szCs w:val="28"/>
        </w:rPr>
      </w:pPr>
      <w:r>
        <w:rPr>
          <w:rFonts w:hint="eastAsia" w:ascii="宋体" w:hAnsi="宋体" w:eastAsia="宋体"/>
          <w:sz w:val="28"/>
          <w:szCs w:val="28"/>
        </w:rPr>
        <w:t>绩效评价得分表</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568"/>
        <w:gridCol w:w="1418"/>
        <w:gridCol w:w="1527"/>
        <w:gridCol w:w="156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指标</w:t>
            </w:r>
          </w:p>
        </w:tc>
        <w:tc>
          <w:tcPr>
            <w:tcW w:w="1568"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1.项目决策</w:t>
            </w:r>
          </w:p>
        </w:tc>
        <w:tc>
          <w:tcPr>
            <w:tcW w:w="1418"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2.项目过程</w:t>
            </w:r>
          </w:p>
        </w:tc>
        <w:tc>
          <w:tcPr>
            <w:tcW w:w="1527"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3.项目产出</w:t>
            </w:r>
          </w:p>
        </w:tc>
        <w:tc>
          <w:tcPr>
            <w:tcW w:w="1567"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4.项目效率</w:t>
            </w:r>
          </w:p>
        </w:tc>
        <w:tc>
          <w:tcPr>
            <w:tcW w:w="1375" w:type="dxa"/>
          </w:tcPr>
          <w:p>
            <w:pPr>
              <w:tabs>
                <w:tab w:val="left" w:pos="420"/>
              </w:tabs>
              <w:topLinePunct/>
              <w:spacing w:line="600" w:lineRule="exact"/>
              <w:jc w:val="center"/>
              <w:outlineLvl w:val="0"/>
              <w:rPr>
                <w:rFonts w:ascii="黑体" w:hAnsi="黑体" w:eastAsia="黑体" w:cs="仿宋"/>
                <w:sz w:val="24"/>
              </w:rPr>
            </w:pPr>
            <w:r>
              <w:rPr>
                <w:rFonts w:hint="eastAsia" w:ascii="黑体" w:hAnsi="黑体" w:eastAsia="黑体" w:cs="仿宋"/>
                <w:sz w:val="24"/>
              </w:rPr>
              <w:t>合计情况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分值</w:t>
            </w:r>
          </w:p>
        </w:tc>
        <w:tc>
          <w:tcPr>
            <w:tcW w:w="1568"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1</w:t>
            </w:r>
            <w:r>
              <w:rPr>
                <w:rFonts w:ascii="仿宋_GB2312" w:hAnsi="仿宋" w:eastAsia="仿宋_GB2312" w:cs="仿宋"/>
                <w:sz w:val="24"/>
              </w:rPr>
              <w:t>2</w:t>
            </w:r>
          </w:p>
        </w:tc>
        <w:tc>
          <w:tcPr>
            <w:tcW w:w="1418"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23</w:t>
            </w:r>
          </w:p>
        </w:tc>
        <w:tc>
          <w:tcPr>
            <w:tcW w:w="1527"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30</w:t>
            </w:r>
          </w:p>
        </w:tc>
        <w:tc>
          <w:tcPr>
            <w:tcW w:w="1567"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35</w:t>
            </w:r>
          </w:p>
        </w:tc>
        <w:tc>
          <w:tcPr>
            <w:tcW w:w="1375"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得分</w:t>
            </w:r>
          </w:p>
        </w:tc>
        <w:tc>
          <w:tcPr>
            <w:tcW w:w="1568" w:type="dxa"/>
          </w:tcPr>
          <w:p>
            <w:pPr>
              <w:tabs>
                <w:tab w:val="left" w:pos="420"/>
              </w:tabs>
              <w:topLinePunct/>
              <w:spacing w:line="600" w:lineRule="exact"/>
              <w:jc w:val="center"/>
              <w:outlineLvl w:val="0"/>
              <w:rPr>
                <w:rFonts w:ascii="仿宋_GB2312" w:hAnsi="仿宋" w:eastAsia="仿宋_GB2312" w:cs="仿宋"/>
                <w:sz w:val="24"/>
              </w:rPr>
            </w:pPr>
            <w:r>
              <w:rPr>
                <w:rFonts w:hint="eastAsia" w:ascii="仿宋_GB2312" w:hAnsi="仿宋" w:eastAsia="仿宋_GB2312" w:cs="仿宋"/>
                <w:sz w:val="24"/>
              </w:rPr>
              <w:t>1</w:t>
            </w:r>
            <w:r>
              <w:rPr>
                <w:rFonts w:ascii="仿宋_GB2312" w:hAnsi="仿宋" w:eastAsia="仿宋_GB2312" w:cs="仿宋"/>
                <w:sz w:val="24"/>
              </w:rPr>
              <w:t>2</w:t>
            </w:r>
          </w:p>
        </w:tc>
        <w:tc>
          <w:tcPr>
            <w:tcW w:w="1418"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21</w:t>
            </w:r>
          </w:p>
        </w:tc>
        <w:tc>
          <w:tcPr>
            <w:tcW w:w="1527"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30</w:t>
            </w:r>
          </w:p>
        </w:tc>
        <w:tc>
          <w:tcPr>
            <w:tcW w:w="1567"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35</w:t>
            </w:r>
          </w:p>
        </w:tc>
        <w:tc>
          <w:tcPr>
            <w:tcW w:w="1375" w:type="dxa"/>
          </w:tcPr>
          <w:p>
            <w:pPr>
              <w:tabs>
                <w:tab w:val="left" w:pos="420"/>
              </w:tabs>
              <w:topLinePunct/>
              <w:spacing w:line="600" w:lineRule="exact"/>
              <w:jc w:val="center"/>
              <w:outlineLvl w:val="0"/>
              <w:rPr>
                <w:rFonts w:ascii="仿宋_GB2312" w:hAnsi="仿宋" w:eastAsia="仿宋_GB2312" w:cs="仿宋"/>
                <w:sz w:val="24"/>
              </w:rPr>
            </w:pPr>
            <w:r>
              <w:rPr>
                <w:rFonts w:ascii="仿宋_GB2312" w:hAnsi="仿宋" w:eastAsia="仿宋_GB2312" w:cs="仿宋"/>
                <w:sz w:val="24"/>
              </w:rPr>
              <w:t>96.7</w:t>
            </w:r>
          </w:p>
        </w:tc>
      </w:tr>
    </w:tbl>
    <w:p>
      <w:pPr>
        <w:spacing w:line="360" w:lineRule="auto"/>
        <w:ind w:firstLine="560" w:firstLineChars="200"/>
        <w:rPr>
          <w:rFonts w:ascii="宋体" w:hAnsi="宋体" w:eastAsia="宋体"/>
          <w:sz w:val="28"/>
          <w:szCs w:val="28"/>
        </w:rPr>
      </w:pPr>
      <w:r>
        <w:rPr>
          <w:rFonts w:hint="eastAsia" w:ascii="宋体" w:hAnsi="宋体" w:eastAsia="宋体"/>
          <w:sz w:val="28"/>
          <w:szCs w:val="28"/>
        </w:rPr>
        <w:t>（二）评价结论</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自治区公共资源交易管理服务中心交易系统一体化整合及大数据等业务应用开发项目完成了预期目标，资金使用合理合规，</w:t>
      </w:r>
      <w:r>
        <w:rPr>
          <w:rFonts w:ascii="宋体" w:hAnsi="宋体" w:eastAsia="宋体" w:cs="仿宋_GB2312"/>
          <w:sz w:val="28"/>
          <w:szCs w:val="28"/>
        </w:rPr>
        <w:t>公共资源交易系统一体化整合对接了自治区本级多个交易系统，统一抽象各级各类交易平台共有服务，实现各级各类平台共有服务的统一支撑和调用，形成全区统一的电子服务平台一体化协同联动体系。同时，遵循行业相关数据规范，按照“数入一库、数出一门”的总体原则，与自治区中心现有各功能库进行整合对接，逐步形成全自治区一体化公共资源交易数据共享交换中心及数据仓库，满足自治区各级各类公共资源交易平台纵向全面贯通、横向互联互通、信息资源共享的总体目标</w:t>
      </w:r>
      <w:r>
        <w:rPr>
          <w:rFonts w:hint="eastAsia" w:ascii="宋体" w:hAnsi="宋体" w:eastAsia="宋体" w:cs="仿宋_GB2312"/>
          <w:sz w:val="28"/>
          <w:szCs w:val="28"/>
        </w:rPr>
        <w:t>。</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四、绩效评价指标分析</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（一）项目决策情况</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在项目审批方面，审批流程符合自治区公共资源交易管理服务中心相关要求。在项目招标方面，招标方式及招标流程符合国家政采相关要求。在项目绩效目标方面，目标设置合理，与项目实施目标相符。同时，绩效目标设置符合可量化、可衡量的要求。</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（二）项目过程情况</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在项目过程方面，资金支出较为合理，具有完善的财务制度，财务制度执行效果良好。但由于预算资金执行率为</w:t>
      </w:r>
      <w:r>
        <w:rPr>
          <w:rFonts w:ascii="宋体" w:hAnsi="宋体" w:eastAsia="宋体" w:cs="仿宋_GB2312"/>
          <w:sz w:val="28"/>
          <w:szCs w:val="28"/>
        </w:rPr>
        <w:t>54.70%</w:t>
      </w:r>
      <w:r>
        <w:rPr>
          <w:rFonts w:hint="eastAsia" w:ascii="宋体" w:hAnsi="宋体" w:eastAsia="宋体" w:cs="仿宋_GB2312"/>
          <w:sz w:val="28"/>
          <w:szCs w:val="28"/>
        </w:rPr>
        <w:t>，导致资金使用率指标扣</w:t>
      </w:r>
      <w:r>
        <w:rPr>
          <w:rFonts w:ascii="宋体" w:hAnsi="宋体" w:eastAsia="宋体" w:cs="仿宋_GB2312"/>
          <w:sz w:val="28"/>
          <w:szCs w:val="28"/>
        </w:rPr>
        <w:t>2</w:t>
      </w:r>
      <w:r>
        <w:rPr>
          <w:rFonts w:hint="eastAsia" w:ascii="宋体" w:hAnsi="宋体" w:eastAsia="宋体" w:cs="仿宋_GB2312"/>
          <w:sz w:val="28"/>
          <w:szCs w:val="28"/>
        </w:rPr>
        <w:t>分。</w:t>
      </w:r>
    </w:p>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（三）项目产出情况</w:t>
      </w:r>
    </w:p>
    <w:p>
      <w:pPr>
        <w:spacing w:line="360" w:lineRule="auto"/>
        <w:ind w:firstLine="560" w:firstLineChars="200"/>
        <w:rPr>
          <w:rFonts w:ascii="宋体" w:hAnsi="宋体" w:eastAsia="宋体" w:cs="仿宋_GB2312"/>
          <w:sz w:val="28"/>
          <w:szCs w:val="28"/>
        </w:rPr>
      </w:pPr>
      <w:bookmarkStart w:id="0" w:name="_Hlk110020387"/>
      <w:r>
        <w:rPr>
          <w:rFonts w:hint="eastAsia" w:ascii="宋体" w:hAnsi="宋体" w:eastAsia="宋体" w:cs="仿宋_GB2312"/>
          <w:sz w:val="28"/>
          <w:szCs w:val="28"/>
        </w:rPr>
        <w:t>一是大数据应用项目包括的交易指挥中心系统已建设完成</w:t>
      </w:r>
      <w:r>
        <w:rPr>
          <w:rFonts w:ascii="宋体" w:hAnsi="宋体" w:eastAsia="宋体" w:cs="仿宋_GB2312"/>
          <w:sz w:val="28"/>
          <w:szCs w:val="28"/>
        </w:rPr>
        <w:t>；科技交易栏目已建设完成；数字营商功能建设完成；智慧监管栏目建设完成；阳光服务功能建设完成。均已完成初验(正在进行试运行)。</w:t>
      </w:r>
      <w:r>
        <w:rPr>
          <w:rFonts w:hint="eastAsia" w:ascii="宋体" w:hAnsi="宋体" w:eastAsia="宋体" w:cs="仿宋_GB2312"/>
          <w:sz w:val="28"/>
          <w:szCs w:val="28"/>
        </w:rPr>
        <w:t>二是</w:t>
      </w:r>
      <w:r>
        <w:rPr>
          <w:rFonts w:ascii="宋体" w:hAnsi="宋体" w:eastAsia="宋体" w:cs="仿宋_GB2312"/>
          <w:sz w:val="28"/>
          <w:szCs w:val="28"/>
        </w:rPr>
        <w:t>智能化硬件项目:配套相关硬件已全部完成安装部署；短信报警、邮件通告系统套件已完成；火灾自动报警及消防联动控制系统已完成:信息发布系统已完成；电子训查系统已完成:视频安防监控系统已完成。</w:t>
      </w:r>
      <w:r>
        <w:rPr>
          <w:rFonts w:hint="eastAsia" w:ascii="宋体" w:hAnsi="宋体" w:eastAsia="宋体" w:cs="仿宋_GB2312"/>
          <w:sz w:val="28"/>
          <w:szCs w:val="28"/>
        </w:rPr>
        <w:t>三是</w:t>
      </w:r>
      <w:r>
        <w:rPr>
          <w:rFonts w:ascii="宋体" w:hAnsi="宋体" w:eastAsia="宋体" w:cs="仿宋_GB2312"/>
          <w:sz w:val="28"/>
          <w:szCs w:val="28"/>
        </w:rPr>
        <w:t>全区监管一张网项目包括的全区监督数据汇集已完成监督风险画像已建设完成；全区音视频监督已基本建成；移动app已基本建成；均已完成初验(正在进行试运行)</w:t>
      </w:r>
      <w:r>
        <w:rPr>
          <w:rFonts w:hint="eastAsia" w:ascii="宋体" w:hAnsi="宋体" w:eastAsia="宋体" w:cs="仿宋_GB2312"/>
          <w:sz w:val="28"/>
          <w:szCs w:val="28"/>
        </w:rPr>
        <w:t>。四是</w:t>
      </w:r>
      <w:r>
        <w:rPr>
          <w:rFonts w:ascii="宋体" w:hAnsi="宋体" w:eastAsia="宋体" w:cs="仿宋_GB2312"/>
          <w:sz w:val="28"/>
          <w:szCs w:val="28"/>
        </w:rPr>
        <w:t>自然资源交易一张网:土地使用权网上交易系统已完成；地勘基金交易系统已建设完成；城乡建设用地增减挂钩节余指标与补充耕地指标交易系统已建设完成，均已完成初验。</w:t>
      </w:r>
      <w:r>
        <w:rPr>
          <w:rFonts w:hint="eastAsia" w:ascii="宋体" w:hAnsi="宋体" w:eastAsia="宋体" w:cs="仿宋_GB2312"/>
          <w:sz w:val="28"/>
          <w:szCs w:val="28"/>
        </w:rPr>
        <w:t>五是</w:t>
      </w:r>
      <w:r>
        <w:rPr>
          <w:rFonts w:ascii="宋体" w:hAnsi="宋体" w:eastAsia="宋体" w:cs="仿宋_GB2312"/>
          <w:sz w:val="28"/>
          <w:szCs w:val="28"/>
        </w:rPr>
        <w:t>一体化业务处理平台:全区数据共享中心已建设完成；全区电子档案管理系统已建设完成；一体化业务处理平台已建设完成。均已完成初验。</w:t>
      </w:r>
    </w:p>
    <w:bookmarkEnd w:id="0"/>
    <w:p>
      <w:pPr>
        <w:spacing w:line="360" w:lineRule="auto"/>
        <w:ind w:firstLine="562" w:firstLineChars="200"/>
        <w:outlineLvl w:val="0"/>
        <w:rPr>
          <w:rFonts w:ascii="宋体" w:hAnsi="宋体" w:eastAsia="宋体"/>
          <w:b/>
          <w:sz w:val="28"/>
          <w:szCs w:val="28"/>
        </w:rPr>
      </w:pPr>
      <w:r>
        <w:rPr>
          <w:rFonts w:hint="eastAsia" w:ascii="宋体" w:hAnsi="宋体" w:eastAsia="宋体"/>
          <w:b/>
          <w:sz w:val="28"/>
          <w:szCs w:val="28"/>
        </w:rPr>
        <w:t>（四）项目效益情况</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1、节约行政管理成本</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通过本期建设，实现网上互动、网上递交备案事项、网上报名、网上下载标书、网上投标、网上竞价等操作以及无纸化运行，可大大降低各类资源的消耗，节约社会资源，以实现绿色招标。网上交易实现全过程无纸化运行，减轻评标过程中手工录入的工作量和失误量，缩减开评标时间。同时，可为各部门提供基础信息服务，将解决各部门业务系统因标准不一所造成的信息不一致、信息孤岛等问题，避免分头建设、重复投资。实现信息的有效整合与充分共享，促进业务协同，降低行政成本，提升管理效率。</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2、降低公民、企业的经济活动成本</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内蒙古自治区公共资源交易管理服务中心交易服务管理系统项目有效实现各项业务线上线下协同，减少交易各方的通讯、交通、印刷、人力、管理等方面的支出。同时系统为企业及个人提供方便、快捷的信息查询服务，实现“数据多跑路，群众少跑腿”，大幅提高业务办理效率，节约群众办事时间，有效降低市民、企业的办事成本。同时建立企业诚信档案，减少社会经济活动的信用成本支出，为构建社会信用体系提供重要的信息基础。</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3、有利于实现全自治区资源共享</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当前内蒙古自治区部分建设信息化系统，但是各交易系统之间信息不互通，容易形成“信息孤岛”、“技术壁垒”，通过本期建设，能够完成全区各行业、地方、交易系统以及市场主体需要，从而实现全区公共资源交易信息共享，促进全区公共资源交易诚信体系完善。</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4、有利于加强监督监管</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在目前分散管理的体制下，各部门在履行职责过程中存在着各自为政、互不通气等现象，既形不成合力，又影响政府形象。</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通过本次“信息化系统”中全区统一行政监督系统的建设，有利于创新监管机制，聚合各家力量，加大协调力度，形成统一指导、协调，有关部门依法履行行政监督职责的公共资源交易监管体系。</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5、有利于加快经济发展</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要实现加快发展，就必须使现有的资源、政策等发展要素得到充分的发挥。建立完备的公共资源交易、服务、监督体制，充分发挥市场机制的竞争与激励作用，让市场在公共资源配置过程中拥有“话语权”，提高土地、资金、固定资产等发展要素的利用效率，实现资源的优化配置、保值增值和公共资源效益最大化，为加快发展提供强大动力和机制保障。</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6、有利于加强预防腐败</w:t>
      </w:r>
    </w:p>
    <w:p>
      <w:pPr>
        <w:spacing w:line="360" w:lineRule="auto"/>
        <w:ind w:firstLine="560" w:firstLineChars="200"/>
        <w:rPr>
          <w:rFonts w:hint="eastAsia" w:ascii="宋体" w:hAnsi="宋体" w:eastAsia="宋体" w:cs="仿宋_GB2312"/>
          <w:sz w:val="28"/>
          <w:szCs w:val="28"/>
        </w:rPr>
      </w:pPr>
      <w:r>
        <w:rPr>
          <w:rFonts w:hint="eastAsia" w:ascii="宋体" w:hAnsi="宋体" w:eastAsia="宋体" w:cs="仿宋_GB2312"/>
          <w:sz w:val="28"/>
          <w:szCs w:val="28"/>
        </w:rPr>
        <w:t>公共资源交易领域，特别是工程建设领域，一直是腐败的易发、多发领域。建立统一的公共资源行政监督系统，能够实现立项授予权、工程发包权和监督执法权的分离，有利于加大查处力度，从源头上预防和治理腐败；实现权力运行安全，资金使用安全，项目建设安全和预防腐败的目标。</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五、主要经验及做法、存在的问题及原因分析</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（一）主要经验及做法</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一是加强政策指导，推动应进必进。按照国家确定的目录范围内公共资源纳入统一平台交易的任务要求，推动平台覆盖范围从传统四大板块逐步扩大到适合以市场化配置的各类公共资源。二是加强平台建设，优化运行服务。坚持以全面推行自然资源交易全区“一张网”为先导，大力推进公共资源交易平台建设数字化转型，全面推进平台融合、数据共享和业务协同。三是加强综合协调，推进监管创新。紧扣公共资源交易平台公共服务职能定位，进一步推动交易服务与行政监管有效衔接。</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（二）存在的问题及原因分析</w:t>
      </w:r>
    </w:p>
    <w:p>
      <w:pPr>
        <w:tabs>
          <w:tab w:val="left" w:pos="-28"/>
        </w:tabs>
        <w:spacing w:line="360" w:lineRule="auto"/>
        <w:ind w:firstLine="610" w:firstLineChars="218"/>
        <w:rPr>
          <w:rFonts w:ascii="宋体" w:hAnsi="宋体" w:eastAsia="宋体" w:cs="仿宋_GB2312"/>
          <w:sz w:val="28"/>
          <w:szCs w:val="28"/>
        </w:rPr>
      </w:pPr>
      <w:r>
        <w:rPr>
          <w:rFonts w:hint="eastAsia" w:ascii="宋体" w:hAnsi="宋体" w:eastAsia="宋体" w:cs="仿宋_GB2312"/>
          <w:sz w:val="28"/>
          <w:szCs w:val="28"/>
        </w:rPr>
        <w:t>一是本项目需要整合大量来自多个部门的数据，由于各业务部门系统建设时主要为满足各自业务需要，建设目的、建设时期，数据标准不统一，数据结构多样、平台异构，造成数据采集与整合具有一定难度，给项目实施带来了一定的技术难题。二是随着数据的集中，特别是部、省两级实时业务的开展，为信息安全和系统运行的稳定性带来更大的考验。 三是系统在业务范围上囊括全区二十个交易平台，涉及的业务领域众多，为系统的一体化设计和实施带来难度。四是信息化建设普遍存在“重建设、轻维护”的问题，建设阶段的资金投入、人员投入都比较充分，在维护阶段投入相对较少，导致系统无法高效持续运转。</w:t>
      </w:r>
    </w:p>
    <w:p>
      <w:pPr>
        <w:spacing w:line="360" w:lineRule="auto"/>
        <w:ind w:firstLine="562" w:firstLineChars="200"/>
        <w:rPr>
          <w:rFonts w:ascii="宋体" w:hAnsi="宋体" w:eastAsia="宋体"/>
          <w:b/>
          <w:sz w:val="28"/>
          <w:szCs w:val="28"/>
        </w:rPr>
      </w:pPr>
      <w:r>
        <w:rPr>
          <w:rFonts w:hint="eastAsia" w:ascii="宋体" w:hAnsi="宋体" w:eastAsia="宋体"/>
          <w:b/>
          <w:sz w:val="28"/>
          <w:szCs w:val="28"/>
        </w:rPr>
        <w:t>六、有关建议</w:t>
      </w:r>
    </w:p>
    <w:p>
      <w:pPr>
        <w:spacing w:line="360" w:lineRule="auto"/>
        <w:ind w:firstLine="560" w:firstLineChars="200"/>
        <w:rPr>
          <w:rFonts w:hint="eastAsia"/>
          <w:sz w:val="24"/>
          <w:szCs w:val="24"/>
        </w:rPr>
      </w:pPr>
      <w:r>
        <w:rPr>
          <w:rFonts w:hint="eastAsia" w:ascii="宋体" w:hAnsi="宋体" w:eastAsia="宋体" w:cs="仿宋_GB2312"/>
          <w:sz w:val="28"/>
          <w:szCs w:val="28"/>
        </w:rPr>
        <w:t>一是对于数据采集风险，凡不涉密的数据都要由云计算办公室按照国家相关规定进行管理，为实施数据共享和数据有效开发创造条件，彻底打破部门垄断与信息孤岛问题，市各单位按照上述原则执行，将有效降低数据采集风险。二是注重信息安全和系统安全建设力度，同时加强安全意识、安全制度建设，建立故障预警和应急响应机制，确保系统安全稳定运行。三是加强业务管理规范和业务流程优化设计，将管理模式转变与信息化建设融合起来，促进系统的一体化设计和建设。四是一方面加强项目资金管理工作，规范预算计划和支付流程，做好与政府资金管理部门的沟通和协调以保障运维资金投入。运维工作可以交由专业的公司负责以确保运维能力。运维费用以财政支持为主。</w:t>
      </w:r>
    </w:p>
    <w:p>
      <w:pPr>
        <w:spacing w:line="600" w:lineRule="exact"/>
        <w:ind w:firstLine="562" w:firstLineChars="200"/>
        <w:rPr>
          <w:rFonts w:ascii="宋体" w:hAnsi="宋体" w:eastAsia="宋体"/>
          <w:b/>
          <w:bCs/>
          <w:sz w:val="28"/>
          <w:szCs w:val="28"/>
        </w:rPr>
      </w:pPr>
      <w:r>
        <w:rPr>
          <w:rFonts w:hint="eastAsia" w:ascii="宋体" w:hAnsi="宋体" w:eastAsia="宋体"/>
          <w:b/>
          <w:sz w:val="28"/>
          <w:szCs w:val="28"/>
        </w:rPr>
        <w:t>七、其他</w:t>
      </w:r>
    </w:p>
    <w:p>
      <w:pPr>
        <w:spacing w:line="360" w:lineRule="auto"/>
        <w:ind w:firstLine="560" w:firstLineChars="200"/>
        <w:rPr>
          <w:rFonts w:ascii="宋体" w:hAnsi="宋体" w:eastAsia="宋体" w:cs="仿宋_GB2312"/>
          <w:sz w:val="28"/>
          <w:szCs w:val="28"/>
        </w:rPr>
      </w:pPr>
      <w:r>
        <w:rPr>
          <w:rFonts w:ascii="宋体" w:hAnsi="宋体" w:eastAsia="宋体" w:cs="仿宋_GB2312"/>
          <w:sz w:val="28"/>
          <w:szCs w:val="28"/>
        </w:rPr>
        <w:t>无其他需说明的问题</w:t>
      </w:r>
      <w:r>
        <w:rPr>
          <w:rFonts w:hint="eastAsia" w:ascii="宋体" w:hAnsi="宋体" w:eastAsia="宋体" w:cs="仿宋_GB2312"/>
          <w:sz w:val="28"/>
          <w:szCs w:val="28"/>
        </w:rPr>
        <w:t>。</w:t>
      </w:r>
    </w:p>
    <w:p>
      <w:pPr>
        <w:spacing w:line="360" w:lineRule="auto"/>
        <w:ind w:firstLine="560" w:firstLineChars="200"/>
        <w:rPr>
          <w:rFonts w:ascii="宋体" w:hAnsi="宋体" w:eastAsia="宋体" w:cs="仿宋_GB2312"/>
          <w:sz w:val="28"/>
          <w:szCs w:val="28"/>
        </w:rPr>
      </w:pPr>
    </w:p>
    <w:p>
      <w:pPr>
        <w:spacing w:line="360" w:lineRule="auto"/>
        <w:ind w:firstLine="560" w:firstLineChars="200"/>
        <w:rPr>
          <w:rFonts w:ascii="宋体" w:hAnsi="宋体" w:eastAsia="宋体" w:cs="仿宋_GB2312"/>
          <w:sz w:val="28"/>
          <w:szCs w:val="28"/>
        </w:rPr>
      </w:pP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附件：绩效评价指标体系及得分情况</w:t>
      </w:r>
    </w:p>
    <w:p>
      <w:pPr>
        <w:jc w:val="left"/>
        <w:rPr>
          <w:rFonts w:ascii="宋体" w:hAnsi="宋体" w:eastAsia="宋体"/>
          <w:b/>
          <w:sz w:val="28"/>
          <w:szCs w:val="28"/>
        </w:rPr>
      </w:pPr>
    </w:p>
    <w:p>
      <w:pPr>
        <w:jc w:val="right"/>
        <w:rPr>
          <w:rFonts w:ascii="宋体" w:hAnsi="宋体" w:eastAsia="宋体"/>
          <w:b/>
          <w:sz w:val="28"/>
          <w:szCs w:val="28"/>
        </w:rPr>
        <w:sectPr>
          <w:pgSz w:w="11906" w:h="16838"/>
          <w:pgMar w:top="1701" w:right="1797" w:bottom="1701" w:left="1797" w:header="851" w:footer="992" w:gutter="0"/>
          <w:cols w:space="425" w:num="1"/>
          <w:docGrid w:type="lines" w:linePitch="312" w:charSpace="0"/>
        </w:sectPr>
      </w:pPr>
    </w:p>
    <w:p>
      <w:pPr>
        <w:jc w:val="right"/>
        <w:rPr>
          <w:rFonts w:ascii="宋体" w:hAnsi="宋体" w:eastAsia="宋体"/>
          <w:b/>
          <w:sz w:val="28"/>
          <w:szCs w:val="28"/>
        </w:rPr>
      </w:pPr>
    </w:p>
    <w:tbl>
      <w:tblPr>
        <w:tblStyle w:val="4"/>
        <w:tblW w:w="5000" w:type="pct"/>
        <w:tblInd w:w="0" w:type="dxa"/>
        <w:tblLayout w:type="autofit"/>
        <w:tblCellMar>
          <w:top w:w="0" w:type="dxa"/>
          <w:left w:w="108" w:type="dxa"/>
          <w:bottom w:w="0" w:type="dxa"/>
          <w:right w:w="108" w:type="dxa"/>
        </w:tblCellMar>
      </w:tblPr>
      <w:tblGrid>
        <w:gridCol w:w="757"/>
        <w:gridCol w:w="964"/>
        <w:gridCol w:w="516"/>
        <w:gridCol w:w="664"/>
        <w:gridCol w:w="574"/>
        <w:gridCol w:w="2196"/>
        <w:gridCol w:w="4364"/>
        <w:gridCol w:w="2666"/>
        <w:gridCol w:w="951"/>
      </w:tblGrid>
      <w:tr>
        <w:tblPrEx>
          <w:tblCellMar>
            <w:top w:w="0" w:type="dxa"/>
            <w:left w:w="108" w:type="dxa"/>
            <w:bottom w:w="0" w:type="dxa"/>
            <w:right w:w="108" w:type="dxa"/>
          </w:tblCellMar>
        </w:tblPrEx>
        <w:trPr>
          <w:trHeight w:val="975" w:hRule="atLeast"/>
          <w:tblHeader/>
        </w:trPr>
        <w:tc>
          <w:tcPr>
            <w:tcW w:w="5000" w:type="pct"/>
            <w:gridSpan w:val="9"/>
            <w:tcBorders>
              <w:bottom w:val="single" w:color="auto" w:sz="4" w:space="0"/>
            </w:tcBorders>
            <w:shd w:val="clear" w:color="auto" w:fill="auto"/>
            <w:noWrap/>
            <w:vAlign w:val="center"/>
          </w:tcPr>
          <w:p>
            <w:pPr>
              <w:widowControl/>
              <w:jc w:val="center"/>
              <w:rPr>
                <w:rFonts w:ascii="等线" w:hAnsi="等线" w:eastAsia="等线" w:cs="宋体"/>
                <w:b/>
                <w:bCs/>
                <w:kern w:val="0"/>
                <w:sz w:val="36"/>
                <w:szCs w:val="36"/>
              </w:rPr>
            </w:pPr>
            <w:r>
              <w:rPr>
                <w:rFonts w:hint="eastAsia" w:ascii="等线" w:hAnsi="等线" w:eastAsia="等线" w:cs="宋体"/>
                <w:b/>
                <w:bCs/>
                <w:kern w:val="0"/>
                <w:sz w:val="36"/>
                <w:szCs w:val="36"/>
              </w:rPr>
              <w:t>交易系统一体化整合及大数据等业务应用开发项目支出绩效评价</w:t>
            </w:r>
          </w:p>
        </w:tc>
      </w:tr>
      <w:tr>
        <w:tblPrEx>
          <w:tblCellMar>
            <w:top w:w="0" w:type="dxa"/>
            <w:left w:w="108" w:type="dxa"/>
            <w:bottom w:w="0" w:type="dxa"/>
            <w:right w:w="108" w:type="dxa"/>
          </w:tblCellMar>
        </w:tblPrEx>
        <w:trPr>
          <w:trHeight w:val="705" w:hRule="atLeast"/>
          <w:tblHeader/>
        </w:trPr>
        <w:tc>
          <w:tcPr>
            <w:tcW w:w="3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一级指标</w:t>
            </w:r>
          </w:p>
        </w:tc>
        <w:tc>
          <w:tcPr>
            <w:tcW w:w="3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二级指标</w:t>
            </w:r>
          </w:p>
        </w:tc>
        <w:tc>
          <w:tcPr>
            <w:tcW w:w="1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指标分值</w:t>
            </w:r>
          </w:p>
        </w:tc>
        <w:tc>
          <w:tcPr>
            <w:tcW w:w="2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三级指标</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指标分值</w:t>
            </w:r>
          </w:p>
        </w:tc>
        <w:tc>
          <w:tcPr>
            <w:tcW w:w="8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指标解释</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指标说明</w:t>
            </w:r>
          </w:p>
        </w:tc>
        <w:tc>
          <w:tcPr>
            <w:tcW w:w="7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评分标准</w:t>
            </w:r>
          </w:p>
        </w:tc>
        <w:tc>
          <w:tcPr>
            <w:tcW w:w="3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 w:val="20"/>
                <w:szCs w:val="20"/>
              </w:rPr>
            </w:pPr>
            <w:r>
              <w:rPr>
                <w:rFonts w:hint="eastAsia" w:ascii="仿宋" w:hAnsi="仿宋" w:eastAsia="仿宋" w:cs="宋体"/>
                <w:b/>
                <w:bCs/>
                <w:kern w:val="0"/>
                <w:sz w:val="20"/>
                <w:szCs w:val="20"/>
              </w:rPr>
              <w:t>评分</w:t>
            </w:r>
          </w:p>
        </w:tc>
      </w:tr>
      <w:tr>
        <w:tblPrEx>
          <w:tblCellMar>
            <w:top w:w="0" w:type="dxa"/>
            <w:left w:w="108" w:type="dxa"/>
            <w:bottom w:w="0" w:type="dxa"/>
            <w:right w:w="108" w:type="dxa"/>
          </w:tblCellMar>
        </w:tblPrEx>
        <w:trPr>
          <w:trHeight w:val="480" w:hRule="atLeast"/>
        </w:trPr>
        <w:tc>
          <w:tcPr>
            <w:tcW w:w="3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决策（12分）　</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项目立项　</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立项依据</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项目立项是否符合法律法规、相关政策、发展规划以及部门职责，用以反映和考核项目立项依据情况。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符合全部五项（2分）；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①项目立项是否符合国家法律法规、国民经济发展规划和相关政策；</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符合其中四项（1.6分）；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②项目立项是否符合行业发展规划和政策要求；</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符合其中三项（1.2分）；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③项目立项是否与部门职责范围相符，属于部门履职所需；</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符合其中二项（0.8分）；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④项目是否属于公共财政支持范围，是否符合中央、地方事权支出责任划分原则；</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符合其中一项（0.4分）；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⑤项目是否与相关部门同类项目或部门内部相关项目重复。</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立项程序</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项目申请、设立过程是否符合相关要求，用以反映和考核项目立项的规范情况。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符合全部三项（2分）；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①项目是否按照规定的程序申请设立；</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符合其中二项（1.3分）；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②审批文件、材料是否符合相关要求；</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符合其中一项（0.7分）；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③事前是否已经过必要的可行性研究、专家论证、风险评估、绩效评估、集体决策。</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绩效目标　</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绩效目标</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项目所设定的绩效目标是否依据充分，是否符合客观实际，用以反映和考核项目绩效目标与项目实施的相符情况。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评价要点：（如未设定预算绩效目标，也可考核其他工作任务目标）</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符合其中四项（2分）；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①项目是否有绩效目标；</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符合其中三项（1.5分）；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②项目绩效目标与实际工作内容是否具有相关性；</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符合其中二项（1分）；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③项目预期产出效益和效果是否符合正常的业绩水平；</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符合其中一项（0.5分）；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④是否与预算确定的项目投资额或资金量相匹配。</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绩效指标</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依据绩效目标设定的绩效指标是否清晰、细化、可衡量等，用以反映和考核项目绩效目标的明细化情况。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符合全部三项（2分）；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①是否将项目绩效目标细化分解为具体的绩效指标；</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符合其中二项（1.3分）；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②是否通过清晰、可衡量的指标值予以体现；</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符合其中一项（0.7分）；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③是否与项目目标任务数或计划数相对应。</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资金投入</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预算编制</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项目预算编制是否经过科学论证、有明确标准，资金额度与年度目标是否相适应，用以反映和考核项目预算编制的科学性、合理性情况。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符合其中四项（2分）；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①预算编制是否经过科学论证；</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符合其中三项（1.5分）；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②预算内容与项目内容是否匹配；</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符合其中二项（1分）；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③预算额度测算依据是否充分，是否按照标准编制；</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符合其中一项（0.5分）；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④预算确定的项目投资额或资金量是否与工作任务相匹配。</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资金分配</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项目预算资金分配是否有测算依据，与补助单位或地方实际是否相适应，用以反映和考核项目预算资金分配的科学性、合理性情况。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符合其中二项（1分）；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①预算资金分配依据是否充分；</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符合其中一项（0.5分）；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②资金分配额度是否合理，与项目单位或地方实际是否相适应。</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过程（23分）</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资金管理</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资金到位率</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实际到位资金与预算资金的比率，用以反映和考核资金落实情况对项目实施的总体保障程度。</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资金到位率=（实际到位资金/预算资金）×100%。</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符合其中三项（4分）；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实际到位资金：一定时期（本年度或项目期）内落实到具体项目的资金。</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符合其中二项（2.7分）；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预算资金：一定时期（本年度或项目期）内预算安排到具体项目的资金。</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符合其中一项（1.4分）；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预算执行率</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项目预算资金是否按照计划执行，用以反映或考核项目预算执行情况。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预算执行率=（实际支出资金/实际到位资金）×100%。</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符合其中二项（4分）；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实际支出资金：一定时期（本年度或项目期）内项目实际拨付的资金。</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符合其中一项（2分）；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资金使用合规性</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项目资金使用是否符合相关的财务管理制度规定，用以反映和考核项目资金的规范运行情况。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符合其中四项（7分）；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①是否符合国家财经法规和财务管理制度以及有关专项资金管理办法的规定；</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符合其中三项（5.2分）；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②资金的拨付是否有完整的审批程序和手续；</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符合其中二项（3.5分）；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③是否符合项目预算批复或合同规定的用途；</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符合其中一项（1.7分）；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④是否存在截留、挤占、挪用、虚列支出等情况。</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组织实施</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管理制度健全性</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项目实施单位的财务和业务管理制度是否健全，用以反映和考核财务和业务管理制度对项目顺利实施的保障情况。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符合其中二项（4分）；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①是否已制定或具有相应的财务和业务管理制度；</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符合其中一项（2分）；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②财务和业务管理制度是否合法、合规、完整。</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制度执行有效性</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项目实施是否符合相关管理规定，用以反映和考核相关管理制度的有效执行情况。</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符合其中四项（4分）；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4</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①是否遵守相关法律法规和相关管理规定；</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符合其中三项（3分）；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②项目调整及支出调整手续是否完备；</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符合其中二项（2分）；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③项目合同书、验收报告、技术鉴定等资料是否齐全并及时归档；</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符合其中一项（1分）；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④项目实施的人员条件、场地设备、信息支撑等是否落实到位。</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产出（30分）</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产出数量</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实际完成率</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项目实施的实际产出数与计划产出数的比率，用以反映和考核项目产出数量目标的实现程度。</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实际完成率=（实际产出数/计划产出数）×100%。</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符合其中三项（8分）；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实际产出数：一定时期（本年度或项目期）内项目实际产出的产品或提供的服务数量。</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符合其中二项（5.3分）；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计划产出数：项目绩效目标确定的在一定时期（本年度或项目期）内计划产出的产品或提供的服务数量。</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符合其中一项（2.7分）；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产出质量</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质量达标率</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项目完成的质量达标产出数与实际产出数的比率，用以反映和考核项目产出质量目标的实现程度。</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符合其中二项（7分）；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①系统故障率小于5%</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符合其中一项（3.5分）；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②系统验收合格率大于95%</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产出时效</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完成及时性</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项目实际完成时间与计划完成时间的比较，用以反映和考核项目产出时效目标的实现程度。</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实际完成时间：项目实施单位完成该项目实际所耗用的时间。</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符合其中二项（7分）；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7</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计划完成时间：按照项目实施计划或相关规定完成该项目所需的时间。</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符合其中一项（3.5分）；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产出成本</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成本节约率</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完成项目计划工作目标的实际节约成本与计划成本的比率，用以反映和考核项目的成本节约程度。</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成本节约率=[（计划成本-实际成本）/计划成本]×100%。</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符合其中三项（8分）；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8</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实际成本：项目实施单位如期、保质、保量完成既定工作目标实际所耗费的支出。</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符合其中二项（5.4分）；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计划成本：项目实施单位为完成工作目标计划安排的支出，一般以项目预算为参考。</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符合其中一项（2.6分）；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效益（35分）　</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项目效益　</w:t>
            </w:r>
          </w:p>
        </w:tc>
        <w:tc>
          <w:tcPr>
            <w:tcW w:w="1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35</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实施效益</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25</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项目实施所产生的效益。</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符合其中二项（25分）；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25</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①主页点击量</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符合其中一项（12.5分）；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②系统正常使用年限</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满意度</w:t>
            </w:r>
          </w:p>
        </w:tc>
        <w:tc>
          <w:tcPr>
            <w:tcW w:w="2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10</w:t>
            </w:r>
          </w:p>
        </w:tc>
        <w:tc>
          <w:tcPr>
            <w:tcW w:w="8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服务对象对项目实施效果的满意程度。</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评价要点</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符合其中二项（10分）；</w:t>
            </w:r>
          </w:p>
        </w:tc>
        <w:tc>
          <w:tcPr>
            <w:tcW w:w="3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10</w:t>
            </w: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①使用人员满意度</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符合其中一项（5分）；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3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7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24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8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②评标人、专家对物业、停车场工作满意度</w:t>
            </w:r>
          </w:p>
        </w:tc>
        <w:tc>
          <w:tcPr>
            <w:tcW w:w="75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kern w:val="0"/>
                <w:sz w:val="20"/>
                <w:szCs w:val="20"/>
              </w:rPr>
            </w:pPr>
            <w:r>
              <w:rPr>
                <w:rFonts w:hint="eastAsia" w:ascii="仿宋" w:hAnsi="仿宋" w:eastAsia="仿宋" w:cs="宋体"/>
                <w:kern w:val="0"/>
                <w:sz w:val="20"/>
                <w:szCs w:val="20"/>
              </w:rPr>
              <w:t>全部不符合则不得分。</w:t>
            </w:r>
          </w:p>
        </w:tc>
        <w:tc>
          <w:tcPr>
            <w:tcW w:w="3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0"/>
                <w:szCs w:val="20"/>
              </w:rPr>
            </w:pPr>
          </w:p>
        </w:tc>
      </w:tr>
      <w:tr>
        <w:tblPrEx>
          <w:tblCellMar>
            <w:top w:w="0" w:type="dxa"/>
            <w:left w:w="108" w:type="dxa"/>
            <w:bottom w:w="0" w:type="dxa"/>
            <w:right w:w="108" w:type="dxa"/>
          </w:tblCellMar>
        </w:tblPrEx>
        <w:trPr>
          <w:trHeight w:val="480" w:hRule="atLeast"/>
        </w:trPr>
        <w:tc>
          <w:tcPr>
            <w:tcW w:w="70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合计</w:t>
            </w:r>
          </w:p>
        </w:tc>
        <w:tc>
          <w:tcPr>
            <w:tcW w:w="16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100</w:t>
            </w:r>
          </w:p>
        </w:tc>
        <w:tc>
          <w:tcPr>
            <w:tcW w:w="2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24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100</w:t>
            </w:r>
          </w:p>
        </w:tc>
        <w:tc>
          <w:tcPr>
            <w:tcW w:w="83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16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75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　</w:t>
            </w:r>
          </w:p>
        </w:tc>
        <w:tc>
          <w:tcPr>
            <w:tcW w:w="38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20"/>
                <w:szCs w:val="20"/>
              </w:rPr>
            </w:pPr>
            <w:r>
              <w:rPr>
                <w:rFonts w:hint="eastAsia" w:ascii="仿宋" w:hAnsi="仿宋" w:eastAsia="仿宋" w:cs="宋体"/>
                <w:kern w:val="0"/>
                <w:sz w:val="20"/>
                <w:szCs w:val="20"/>
              </w:rPr>
              <w:t>98</w:t>
            </w:r>
          </w:p>
        </w:tc>
      </w:tr>
    </w:tbl>
    <w:p>
      <w:pPr>
        <w:jc w:val="right"/>
        <w:rPr>
          <w:rFonts w:ascii="宋体" w:hAnsi="宋体" w:eastAsia="宋体"/>
          <w:b/>
          <w:sz w:val="28"/>
          <w:szCs w:val="28"/>
        </w:rPr>
      </w:pPr>
    </w:p>
    <w:sectPr>
      <w:pgSz w:w="16838" w:h="11906" w:orient="landscape"/>
      <w:pgMar w:top="1797" w:right="1701" w:bottom="1797"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GothicI Cyr">
    <w:altName w:val="Courier New"/>
    <w:panose1 w:val="00000000000000000000"/>
    <w:charset w:val="CC"/>
    <w:family w:val="auto"/>
    <w:pitch w:val="default"/>
    <w:sig w:usb0="00000000" w:usb1="00000000" w:usb2="00000000" w:usb3="00000000" w:csb0="00000004"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25"/>
    <w:rsid w:val="00036AC6"/>
    <w:rsid w:val="0004053B"/>
    <w:rsid w:val="00071A03"/>
    <w:rsid w:val="00075F00"/>
    <w:rsid w:val="000A0DF9"/>
    <w:rsid w:val="000A3127"/>
    <w:rsid w:val="0012218A"/>
    <w:rsid w:val="00130FD3"/>
    <w:rsid w:val="001320AC"/>
    <w:rsid w:val="0015273B"/>
    <w:rsid w:val="00160113"/>
    <w:rsid w:val="001670E7"/>
    <w:rsid w:val="001764C7"/>
    <w:rsid w:val="00180861"/>
    <w:rsid w:val="001A16CC"/>
    <w:rsid w:val="001A7B18"/>
    <w:rsid w:val="00243E1F"/>
    <w:rsid w:val="00260FBF"/>
    <w:rsid w:val="002B32A1"/>
    <w:rsid w:val="002C1EE5"/>
    <w:rsid w:val="002C5599"/>
    <w:rsid w:val="002C6BF9"/>
    <w:rsid w:val="002F446F"/>
    <w:rsid w:val="002F6D9C"/>
    <w:rsid w:val="003101EA"/>
    <w:rsid w:val="00326637"/>
    <w:rsid w:val="00336204"/>
    <w:rsid w:val="00340DFF"/>
    <w:rsid w:val="00375A94"/>
    <w:rsid w:val="00381BAA"/>
    <w:rsid w:val="00387F8C"/>
    <w:rsid w:val="00392109"/>
    <w:rsid w:val="0039524C"/>
    <w:rsid w:val="003A0C4E"/>
    <w:rsid w:val="003A5D16"/>
    <w:rsid w:val="003C4C25"/>
    <w:rsid w:val="003F75D2"/>
    <w:rsid w:val="00416127"/>
    <w:rsid w:val="0043008D"/>
    <w:rsid w:val="00443948"/>
    <w:rsid w:val="0046371B"/>
    <w:rsid w:val="004756CF"/>
    <w:rsid w:val="00483B5F"/>
    <w:rsid w:val="00487114"/>
    <w:rsid w:val="004B3C69"/>
    <w:rsid w:val="004B5700"/>
    <w:rsid w:val="004C20A0"/>
    <w:rsid w:val="004D43B0"/>
    <w:rsid w:val="005039D8"/>
    <w:rsid w:val="00513031"/>
    <w:rsid w:val="00520F5E"/>
    <w:rsid w:val="0053299D"/>
    <w:rsid w:val="0059148F"/>
    <w:rsid w:val="005A145C"/>
    <w:rsid w:val="005A70F1"/>
    <w:rsid w:val="005B47FF"/>
    <w:rsid w:val="005E661B"/>
    <w:rsid w:val="005F3342"/>
    <w:rsid w:val="005F3A3B"/>
    <w:rsid w:val="006045B8"/>
    <w:rsid w:val="00622A1A"/>
    <w:rsid w:val="006569F0"/>
    <w:rsid w:val="00697151"/>
    <w:rsid w:val="006D4233"/>
    <w:rsid w:val="00720B2E"/>
    <w:rsid w:val="007247CD"/>
    <w:rsid w:val="0075117D"/>
    <w:rsid w:val="00776EB8"/>
    <w:rsid w:val="0078113E"/>
    <w:rsid w:val="00785C23"/>
    <w:rsid w:val="00790508"/>
    <w:rsid w:val="007B31A1"/>
    <w:rsid w:val="007C0623"/>
    <w:rsid w:val="007E2915"/>
    <w:rsid w:val="0083714B"/>
    <w:rsid w:val="00857C6C"/>
    <w:rsid w:val="008C0AD5"/>
    <w:rsid w:val="008D28C1"/>
    <w:rsid w:val="008F65E2"/>
    <w:rsid w:val="009019A2"/>
    <w:rsid w:val="0092457F"/>
    <w:rsid w:val="009357DF"/>
    <w:rsid w:val="00956483"/>
    <w:rsid w:val="009637C9"/>
    <w:rsid w:val="00965850"/>
    <w:rsid w:val="00976BB2"/>
    <w:rsid w:val="00990112"/>
    <w:rsid w:val="009A75B8"/>
    <w:rsid w:val="009D07C8"/>
    <w:rsid w:val="009D3E62"/>
    <w:rsid w:val="009E4066"/>
    <w:rsid w:val="009F1E71"/>
    <w:rsid w:val="00A157C9"/>
    <w:rsid w:val="00A334F9"/>
    <w:rsid w:val="00A45A1E"/>
    <w:rsid w:val="00A472DD"/>
    <w:rsid w:val="00A53832"/>
    <w:rsid w:val="00A711F7"/>
    <w:rsid w:val="00A804B9"/>
    <w:rsid w:val="00A83DD4"/>
    <w:rsid w:val="00AD13C0"/>
    <w:rsid w:val="00B055D6"/>
    <w:rsid w:val="00B05654"/>
    <w:rsid w:val="00B45CAD"/>
    <w:rsid w:val="00B67F6A"/>
    <w:rsid w:val="00B73547"/>
    <w:rsid w:val="00BC340D"/>
    <w:rsid w:val="00BD308D"/>
    <w:rsid w:val="00BE7CCC"/>
    <w:rsid w:val="00BF2786"/>
    <w:rsid w:val="00C03A67"/>
    <w:rsid w:val="00C0677D"/>
    <w:rsid w:val="00C30E4E"/>
    <w:rsid w:val="00C40563"/>
    <w:rsid w:val="00C42876"/>
    <w:rsid w:val="00C45CFD"/>
    <w:rsid w:val="00C47774"/>
    <w:rsid w:val="00C71C06"/>
    <w:rsid w:val="00C83B4C"/>
    <w:rsid w:val="00C93906"/>
    <w:rsid w:val="00CA0A57"/>
    <w:rsid w:val="00CD1ED3"/>
    <w:rsid w:val="00CE0CD2"/>
    <w:rsid w:val="00CF1A0B"/>
    <w:rsid w:val="00D03954"/>
    <w:rsid w:val="00D05593"/>
    <w:rsid w:val="00D62507"/>
    <w:rsid w:val="00D8498E"/>
    <w:rsid w:val="00DE581E"/>
    <w:rsid w:val="00E104CB"/>
    <w:rsid w:val="00E23B5B"/>
    <w:rsid w:val="00E35F7B"/>
    <w:rsid w:val="00E50D7C"/>
    <w:rsid w:val="00E52472"/>
    <w:rsid w:val="00E55AA2"/>
    <w:rsid w:val="00E96642"/>
    <w:rsid w:val="00EB4320"/>
    <w:rsid w:val="00EC0E2A"/>
    <w:rsid w:val="00ED1464"/>
    <w:rsid w:val="00ED6F6B"/>
    <w:rsid w:val="00ED73A5"/>
    <w:rsid w:val="00EE1A0F"/>
    <w:rsid w:val="00F11529"/>
    <w:rsid w:val="00F30F37"/>
    <w:rsid w:val="00F37437"/>
    <w:rsid w:val="00F54239"/>
    <w:rsid w:val="00F90B9C"/>
    <w:rsid w:val="00FE07D6"/>
    <w:rsid w:val="15E0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uiPriority w:val="99"/>
    <w:rPr>
      <w:sz w:val="18"/>
      <w:szCs w:val="18"/>
    </w:rPr>
  </w:style>
  <w:style w:type="paragraph" w:customStyle="1" w:styleId="9">
    <w:name w:val="Char"/>
    <w:basedOn w:val="1"/>
    <w:uiPriority w:val="0"/>
    <w:pPr>
      <w:widowControl/>
      <w:spacing w:after="160" w:line="240" w:lineRule="exact"/>
      <w:jc w:val="left"/>
    </w:pPr>
    <w:rPr>
      <w:rFonts w:ascii="Times New Roman" w:hAnsi="Times New Roman" w:eastAsia="宋体" w:cs="GothicI Cyr"/>
    </w:rPr>
  </w:style>
  <w:style w:type="paragraph" w:customStyle="1" w:styleId="10">
    <w:name w:val="Char1"/>
    <w:basedOn w:val="1"/>
    <w:uiPriority w:val="0"/>
    <w:pPr>
      <w:widowControl/>
      <w:spacing w:after="160" w:line="240" w:lineRule="exact"/>
      <w:jc w:val="left"/>
    </w:pPr>
    <w:rPr>
      <w:rFonts w:ascii="Times New Roman" w:hAnsi="Times New Roman" w:eastAsia="宋体" w:cs="GothicI Cyr"/>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4166-7897-4F97-B7B5-85DBE3936F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8162</Words>
  <Characters>8341</Characters>
  <Lines>64</Lines>
  <Paragraphs>18</Paragraphs>
  <TotalTime>1832</TotalTime>
  <ScaleCrop>false</ScaleCrop>
  <LinksUpToDate>false</LinksUpToDate>
  <CharactersWithSpaces>8359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2021-08-24T03:31:00Z</dcterms:created>
  <dc:creator>User</dc:creator>
  <cp:lastModifiedBy>龙宝</cp:lastModifiedBy>
  <dcterms:modified xsi:type="dcterms:W3CDTF">2023-07-27T02:41:11Z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FECA62526568444CAEDF9E097D222A8B_13</vt:lpwstr>
  </property>
</Properties>
</file>