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关于上传国有资本经营预算支出情况表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件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无国有资本经营预算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，因此上传国有资本经营预算支出表为空表，特此说明。</w:t>
      </w: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2880" w:firstLineChars="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内蒙古自治区公共资源交易中心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2022年2月10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526C"/>
    <w:rsid w:val="02576629"/>
    <w:rsid w:val="14CA6AF7"/>
    <w:rsid w:val="2EA74F58"/>
    <w:rsid w:val="349F5B4F"/>
    <w:rsid w:val="372D526C"/>
    <w:rsid w:val="3AEF43B5"/>
    <w:rsid w:val="67E92CEE"/>
    <w:rsid w:val="7BA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2020-08-26T07:47:00Z</dcterms:created>
  <dc:creator>龙宝</dc:creator>
  <cp:lastModifiedBy>龙宝</cp:lastModifiedBy>
  <cp:lastPrinted>2022-02-10T08:18:58Z</cp:lastPrinted>
  <dcterms:modified xsi:type="dcterms:W3CDTF">2022-02-10T08:20:41Z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F593AE8AA12C47369FAFAF9B01B2814A</vt:lpwstr>
  </property>
</Properties>
</file>