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华文仿宋" w:hAnsi="华文仿宋" w:eastAsia="华文仿宋"/>
          <w:bCs/>
          <w:sz w:val="32"/>
          <w:szCs w:val="32"/>
        </w:rPr>
      </w:pP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交易系统一体化整合及大数据等业务应用开发</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项目支出绩效评价报告</w:t>
      </w:r>
    </w:p>
    <w:p>
      <w:pPr>
        <w:topLinePunct/>
        <w:spacing w:line="360" w:lineRule="auto"/>
        <w:jc w:val="both"/>
        <w:rPr>
          <w:rFonts w:hint="eastAsia" w:ascii="华文仿宋" w:hAnsi="华文仿宋" w:eastAsia="华文仿宋" w:cs="方正黑体_GBK"/>
          <w:sz w:val="32"/>
          <w:szCs w:val="32"/>
        </w:rPr>
      </w:pPr>
    </w:p>
    <w:p>
      <w:pPr>
        <w:topLinePunct/>
        <w:spacing w:line="360" w:lineRule="auto"/>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方正黑体_GBK"/>
          <w:sz w:val="32"/>
          <w:szCs w:val="32"/>
        </w:rPr>
        <w:t xml:space="preserve">  </w:t>
      </w:r>
      <w:r>
        <w:rPr>
          <w:rFonts w:hint="eastAsia" w:ascii="华文仿宋" w:hAnsi="华文仿宋" w:eastAsia="华文仿宋" w:cs="方正黑体_GBK"/>
          <w:b/>
          <w:bCs/>
          <w:sz w:val="32"/>
          <w:szCs w:val="32"/>
        </w:rPr>
        <w:t xml:space="preserve"> </w:t>
      </w:r>
      <w:r>
        <w:rPr>
          <w:rFonts w:hint="eastAsia" w:ascii="华文仿宋" w:hAnsi="华文仿宋" w:eastAsia="华文仿宋" w:cs="宋体"/>
          <w:b/>
          <w:bCs/>
          <w:color w:val="333333"/>
          <w:kern w:val="0"/>
          <w:sz w:val="32"/>
          <w:szCs w:val="32"/>
          <w:shd w:val="clear" w:color="auto" w:fill="FFFFFF"/>
          <w:lang w:val="en-US" w:eastAsia="zh-CN" w:bidi="ar-SA"/>
        </w:rPr>
        <w:t xml:space="preserve"> 一、基本情况</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   （一）项目概况</w:t>
      </w:r>
    </w:p>
    <w:p>
      <w:pPr>
        <w:widowControl/>
        <w:tabs>
          <w:tab w:val="left" w:pos="420"/>
        </w:tabs>
        <w:topLinePunct/>
        <w:spacing w:line="240" w:lineRule="auto"/>
        <w:ind w:firstLine="640" w:firstLineChars="200"/>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1、项目背景</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bookmarkStart w:id="0" w:name="_Hlk80887857"/>
      <w:r>
        <w:rPr>
          <w:rFonts w:hint="eastAsia" w:ascii="华文仿宋" w:hAnsi="华文仿宋" w:eastAsia="华文仿宋" w:cs="宋体"/>
          <w:color w:val="333333"/>
          <w:kern w:val="0"/>
          <w:sz w:val="32"/>
          <w:szCs w:val="32"/>
          <w:shd w:val="clear" w:color="auto" w:fill="FFFFFF"/>
          <w:lang w:val="en-US" w:eastAsia="zh-CN" w:bidi="ar-SA"/>
        </w:rPr>
        <w:t>根据《国务院办公厅转发国家发展改革委关于深化公共资源交易平台整合共享指导意见的通知》（国办函〔2019〕41号）和《内蒙古自治区人民政府办公厅关于印发自治区深化公共资源交易平台整合共享实施方案的通知》（内政办发</w:t>
      </w:r>
      <w:r>
        <w:rPr>
          <w:rFonts w:hint="eastAsia" w:ascii="华文仿宋" w:hAnsi="华文仿宋" w:eastAsia="华文仿宋" w:cs="宋体"/>
          <w:color w:val="333333"/>
          <w:kern w:val="0"/>
          <w:sz w:val="32"/>
          <w:szCs w:val="32"/>
          <w:shd w:val="clear" w:color="auto" w:fill="FFFFFF"/>
          <w:lang w:val="en-US" w:eastAsia="zh-CN" w:bidi="ar-SA"/>
        </w:rPr>
        <w:t>〔2019〕41号）文件精神，为实现公共资源交易平台纵向全面贯通、横向互联互通，制度规则统一、技术标准统一、信息资源共享，公共资源交易项目实施全流程电子化交易，全过程在线实时监管，切实提高公共资源配置效率，此项目支出以提高资源配置、服务效率和降低市场交易主体运营成本为出发点。</w:t>
      </w:r>
      <w:bookmarkEnd w:id="0"/>
    </w:p>
    <w:p>
      <w:pPr>
        <w:tabs>
          <w:tab w:val="left" w:pos="420"/>
        </w:tabs>
        <w:topLinePunct/>
        <w:spacing w:line="240" w:lineRule="auto"/>
        <w:ind w:firstLine="640" w:firstLineChars="200"/>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2、主要内容及实施情况</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在线完成招标投标交易全流程电子化工作为落脚点，采购公共资源交易系统一体化整合、自然资源交易一张网、工程项目不见面开标系统和从业人员在线培训系统等内容。</w:t>
      </w:r>
    </w:p>
    <w:p>
      <w:pPr>
        <w:tabs>
          <w:tab w:val="left" w:pos="420"/>
        </w:tabs>
        <w:topLinePunct/>
        <w:spacing w:line="240" w:lineRule="auto"/>
        <w:ind w:firstLine="640" w:firstLineChars="200"/>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3、资金投入和使用情况</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该项目预算批复800万元，其中：一体化项目预算金额454.5万元，自然资源一张网预算金额228万元，不见面开标系统预算金额70.5万元，培训系统预算27万元，监理预算20万元。预算支出710.15万元，项目结余资金89.85万元。</w:t>
      </w:r>
    </w:p>
    <w:p>
      <w:pPr>
        <w:tabs>
          <w:tab w:val="left" w:pos="420"/>
        </w:tabs>
        <w:topLinePunct/>
        <w:spacing w:line="240" w:lineRule="auto"/>
        <w:ind w:firstLine="640" w:firstLineChars="200"/>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（二）项目绩效目标</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公共资源交易中心共制定了9项指标，包括交易数据汇聚量、建成全区公共资源交易大数据应用平台、每个项目的交易监管时间、节约的制度性交易监管成本、项目交易无纸化、项目交易公开性公平性。上述指标除大数据应用平台因资金不足未建成外，已全部完成。</w:t>
      </w:r>
    </w:p>
    <w:p>
      <w:pPr>
        <w:tabs>
          <w:tab w:val="left" w:pos="420"/>
        </w:tabs>
        <w:topLinePunct/>
        <w:spacing w:line="240" w:lineRule="auto"/>
        <w:jc w:val="both"/>
        <w:outlineLvl w:val="0"/>
        <w:rPr>
          <w:rFonts w:hint="eastAsia" w:ascii="华文仿宋" w:hAnsi="华文仿宋" w:eastAsia="华文仿宋" w:cs="宋体"/>
          <w:b/>
          <w:bCs/>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  </w:t>
      </w:r>
      <w:bookmarkStart w:id="2" w:name="_GoBack"/>
      <w:r>
        <w:rPr>
          <w:rFonts w:hint="eastAsia" w:ascii="华文仿宋" w:hAnsi="华文仿宋" w:eastAsia="华文仿宋" w:cs="宋体"/>
          <w:b/>
          <w:bCs/>
          <w:color w:val="333333"/>
          <w:kern w:val="0"/>
          <w:sz w:val="32"/>
          <w:szCs w:val="32"/>
          <w:shd w:val="clear" w:color="auto" w:fill="FFFFFF"/>
          <w:lang w:val="en-US" w:eastAsia="zh-CN" w:bidi="ar-SA"/>
        </w:rPr>
        <w:t xml:space="preserve">  二、绩效评价工作开展情况</w:t>
      </w:r>
    </w:p>
    <w:bookmarkEnd w:id="2"/>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    （一）绩效评价目的、对象和范围。</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bookmarkStart w:id="1" w:name="_Hlk36218509"/>
      <w:r>
        <w:rPr>
          <w:rFonts w:hint="eastAsia" w:ascii="华文仿宋" w:hAnsi="华文仿宋" w:eastAsia="华文仿宋" w:cs="宋体"/>
          <w:color w:val="333333"/>
          <w:kern w:val="0"/>
          <w:sz w:val="32"/>
          <w:szCs w:val="32"/>
          <w:shd w:val="clear" w:color="auto" w:fill="FFFFFF"/>
          <w:lang w:val="en-US" w:eastAsia="zh-CN" w:bidi="ar-SA"/>
        </w:rPr>
        <w:t>公共资源交易系统一体化整合对接了自治区本级多个交易系统，统一抽象各级各类交易平台共有服务，实现各级各类平台共有服务的统一支撑和调用，形成全区统一的电子服务平台一体化协同联动体系。同时，遵循行业相关数据规范，按照“数入一库、数出一门”的总体原则，与自治区中心现有各功能库进行整合对接，逐步形成全自治区一体化公共资源交易数据共享交换中心及数据仓库，满足自治区各级各类公共资源交易平台纵向全面贯通、横向互联互通、信息资源共享的总体目标。</w:t>
      </w:r>
      <w:bookmarkEnd w:id="1"/>
    </w:p>
    <w:p>
      <w:pPr>
        <w:tabs>
          <w:tab w:val="left" w:pos="420"/>
        </w:tabs>
        <w:topLinePunct/>
        <w:spacing w:line="240" w:lineRule="auto"/>
        <w:ind w:firstLine="640" w:firstLineChars="200"/>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（二）绩效评价原则</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通过政府阳光采购，以公开招标方式确定技术服务及监理单位，确保三调项目市级汇总及监理技术服务和市级平台及软件的建设、实施、部署,要求监理单位的监理工作做到监理有规则、实施有方案，过程有记录，对每一个调查过程的数据质量实时跟进、事事把关，对所监理单位的数据成果的质量实施终身负责制，从源头上保证监理工作这个环节的细致、严密、全面。通过三调数据软件及数据平台建设，及时对接国家数据库平台，做到详细资料提前收集、数据格式、坐标系转换可用、下发数据及时和图斑判读准确。</w:t>
      </w:r>
    </w:p>
    <w:p>
      <w:pPr>
        <w:pStyle w:val="4"/>
        <w:widowControl/>
        <w:shd w:val="clear" w:color="auto" w:fill="FFFFFF"/>
        <w:spacing w:beforeAutospacing="0" w:afterAutospacing="0" w:line="600" w:lineRule="exact"/>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绩效评价原则：目标导向、依法评价；科学规范、分级实施；客观公正、公开透明。</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采用定量分析与定性分析相结合的综合判断法等方法，本次评价采用前期资料收集分析、听取汇报、查阅技术、财务资料、数据分类汇总、复核分析、与项目实施单位相关人员座谈、对三调项目工作问卷调查等程序和具体方法。</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（三）评价指标体系、评价方法、评价标准。</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绩效评价属于完成结果评价，主要采用成本效益分析法、比较法、因素分析法和公众评判法4种方法。其中成本效益分析法是指将一定时期内的支出与效益进行对比分析，以评价绩效目标实现程度。比较法是指通过对绩效目标与实施效果、历史与当期情况、不同部门和地区同类支出的比较，综合分析绩效目标实现程度。因素分析法是指通过综合分析影响绩效目标实现、实施效果的内外因素，绩效评价标准通常包括计划标准、行业标准、历史标准等，用于对绩效指标完成情况进行比较。</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（四）绩效评价工作过程</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绩效评价工作的组织实施分为：前期准备阶段、部门自评阶段、实施评价及撰写报告阶段、整改落实阶段4个阶段。 </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（1）前期准备阶段。项目实施单位收集整理评价项目基础资料，梳理评价重点。对项目管理薄弱环节、问题易发点、绩效内容进行梳理，作为评价重点和目标。 </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（2）部门自评阶段。项目实施单位根据绩效评价的目的，项目实施完成的目标和达到的效果向各所属部门下达绩效评价通知，并督促其按《现场评价项目单位资料提供清单》备齐相关资料。 </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3）实施评价及撰写报告阶段。项目实施单位根据现场评价情况汇总结果，撰写报告征求意见稿，与主管部门交换意见后修改报告，确保报告依据充分、内容完整、数据准确、分析透彻、逻辑清晰、建议和措施可行。绩效评价工作组对评价报告进行汇总分析，撰写绩效评价总体报告。</w:t>
      </w:r>
    </w:p>
    <w:p>
      <w:pPr>
        <w:numPr>
          <w:ilvl w:val="0"/>
          <w:numId w:val="1"/>
        </w:numPr>
        <w:topLinePunct/>
        <w:spacing w:line="360" w:lineRule="auto"/>
        <w:jc w:val="both"/>
        <w:rPr>
          <w:rFonts w:ascii="华文仿宋" w:hAnsi="华文仿宋" w:eastAsia="华文仿宋" w:cs="方正仿宋_GBK"/>
          <w:kern w:val="2"/>
          <w:sz w:val="32"/>
          <w:szCs w:val="32"/>
        </w:rPr>
      </w:pPr>
      <w:r>
        <w:rPr>
          <w:rFonts w:hint="eastAsia" w:ascii="华文仿宋" w:hAnsi="华文仿宋" w:eastAsia="华文仿宋" w:cs="方正黑体_GBK"/>
          <w:b/>
          <w:bCs/>
          <w:sz w:val="32"/>
          <w:szCs w:val="32"/>
        </w:rPr>
        <w:t>综合评价分析情况及评价结论</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此次评价的项目立项依据充分、程序规范，绩效目标合理；项目预算编制较为科学，资金分配较为合理，项目财务管理制度和业务管理制度完善，项目完成较好，效果显著。部门得分94.3分，绩效评价结果为“优”。</w:t>
      </w:r>
    </w:p>
    <w:p>
      <w:pPr>
        <w:pStyle w:val="4"/>
        <w:widowControl/>
        <w:topLinePunct/>
        <w:spacing w:line="360" w:lineRule="auto"/>
        <w:ind w:firstLine="645"/>
        <w:jc w:val="center"/>
        <w:rPr>
          <w:rFonts w:ascii="华文仿宋" w:hAnsi="华文仿宋" w:eastAsia="华文仿宋" w:cs="方正仿宋_GBK"/>
          <w:kern w:val="2"/>
          <w:sz w:val="32"/>
          <w:szCs w:val="32"/>
        </w:rPr>
      </w:pPr>
      <w:r>
        <w:rPr>
          <w:rFonts w:hint="eastAsia" w:ascii="华文仿宋" w:hAnsi="华文仿宋" w:eastAsia="华文仿宋" w:cs="方正仿宋_GBK"/>
          <w:color w:val="333333"/>
          <w:kern w:val="2"/>
          <w:sz w:val="32"/>
          <w:szCs w:val="32"/>
          <w:shd w:val="clear" w:color="auto" w:fill="FFFFFF"/>
        </w:rPr>
        <w:t>各</w:t>
      </w:r>
      <w:r>
        <w:rPr>
          <w:rFonts w:hint="eastAsia" w:ascii="华文仿宋" w:hAnsi="华文仿宋" w:eastAsia="华文仿宋" w:cs="方正仿宋_GBK"/>
          <w:color w:val="333333"/>
          <w:kern w:val="2"/>
          <w:sz w:val="32"/>
          <w:szCs w:val="32"/>
          <w:shd w:val="clear" w:color="auto" w:fill="FFFFFF"/>
          <w:lang w:eastAsia="zh-CN"/>
        </w:rPr>
        <w:t>项</w:t>
      </w:r>
      <w:r>
        <w:rPr>
          <w:rFonts w:hint="eastAsia" w:ascii="华文仿宋" w:hAnsi="华文仿宋" w:eastAsia="华文仿宋" w:cs="方正仿宋_GBK"/>
          <w:color w:val="333333"/>
          <w:kern w:val="2"/>
          <w:sz w:val="32"/>
          <w:szCs w:val="32"/>
          <w:shd w:val="clear" w:color="auto" w:fill="FFFFFF"/>
        </w:rPr>
        <w:t>指标得分情况表</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4"/>
        <w:gridCol w:w="743"/>
        <w:gridCol w:w="1110"/>
        <w:gridCol w:w="1014"/>
        <w:gridCol w:w="567"/>
        <w:gridCol w:w="1275"/>
        <w:gridCol w:w="854"/>
        <w:gridCol w:w="851"/>
        <w:gridCol w:w="11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6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项目名称</w:t>
            </w:r>
          </w:p>
        </w:tc>
        <w:tc>
          <w:tcPr>
            <w:tcW w:w="2693" w:type="dxa"/>
            <w:gridSpan w:val="3"/>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交易系统一体化整合及大数据等业务应用开发</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项目负责人及电话</w:t>
            </w:r>
          </w:p>
        </w:tc>
        <w:tc>
          <w:tcPr>
            <w:tcW w:w="2889" w:type="dxa"/>
            <w:gridSpan w:val="3"/>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郝浚文</w:t>
            </w:r>
            <w:r>
              <w:rPr>
                <w:sz w:val="13"/>
                <w:szCs w:val="13"/>
              </w:rPr>
              <w:t xml:space="preserve">  0471-4827129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6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主管部门</w:t>
            </w:r>
          </w:p>
        </w:tc>
        <w:tc>
          <w:tcPr>
            <w:tcW w:w="2693" w:type="dxa"/>
            <w:gridSpan w:val="3"/>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实施单位</w:t>
            </w:r>
          </w:p>
        </w:tc>
        <w:tc>
          <w:tcPr>
            <w:tcW w:w="2889" w:type="dxa"/>
            <w:gridSpan w:val="3"/>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自治区公共资源交易中心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68"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项目预算执行情况</w:t>
            </w:r>
            <w:r>
              <w:rPr>
                <w:b/>
                <w:color w:val="000000"/>
                <w:sz w:val="13"/>
                <w:szCs w:val="13"/>
              </w:rPr>
              <w:t xml:space="preserve"> </w:t>
            </w:r>
            <w:r>
              <w:rPr>
                <w:rFonts w:hint="eastAsia" w:ascii="宋体" w:hAnsi="宋体" w:cs="宋体"/>
                <w:b/>
                <w:color w:val="000000"/>
                <w:sz w:val="13"/>
                <w:szCs w:val="13"/>
              </w:rPr>
              <w:t>（万元）</w:t>
            </w:r>
          </w:p>
        </w:tc>
        <w:tc>
          <w:tcPr>
            <w:tcW w:w="2126"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全年预算数（A）</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全年执行数（B）</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分值</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执行率（B/A)</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6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2126"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年度资金总额：</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800</w:t>
            </w:r>
            <w:r>
              <w:rPr>
                <w:rFonts w:hint="eastAsia"/>
                <w:sz w:val="13"/>
                <w:szCs w:val="13"/>
              </w:rPr>
              <w:t>万</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710.15</w:t>
            </w:r>
            <w:r>
              <w:rPr>
                <w:rFonts w:hint="eastAsia"/>
                <w:sz w:val="13"/>
                <w:szCs w:val="13"/>
              </w:rPr>
              <w:t>万</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rFonts w:hint="default" w:eastAsia="宋体"/>
                <w:sz w:val="13"/>
                <w:szCs w:val="13"/>
                <w:lang w:val="en-US" w:eastAsia="zh-CN"/>
              </w:rPr>
            </w:pPr>
            <w:r>
              <w:rPr>
                <w:rFonts w:hint="eastAsia"/>
                <w:sz w:val="13"/>
                <w:szCs w:val="13"/>
                <w:lang w:val="en-US" w:eastAsia="zh-CN"/>
              </w:rPr>
              <w:t>10</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rFonts w:hint="default" w:eastAsia="宋体"/>
                <w:sz w:val="13"/>
                <w:szCs w:val="13"/>
                <w:lang w:val="en-US" w:eastAsia="zh-CN"/>
              </w:rPr>
            </w:pPr>
            <w:r>
              <w:rPr>
                <w:rFonts w:hint="eastAsia"/>
                <w:sz w:val="13"/>
                <w:szCs w:val="13"/>
                <w:lang w:val="en-US" w:eastAsia="zh-CN"/>
              </w:rPr>
              <w:t>88.77%</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rFonts w:hint="default" w:eastAsia="宋体"/>
                <w:sz w:val="13"/>
                <w:szCs w:val="13"/>
                <w:lang w:val="en-US" w:eastAsia="zh-CN"/>
              </w:rPr>
            </w:pPr>
            <w:r>
              <w:rPr>
                <w:rFonts w:hint="eastAsia"/>
                <w:sz w:val="13"/>
                <w:szCs w:val="13"/>
                <w:lang w:val="en-US" w:eastAsia="zh-CN"/>
              </w:rPr>
              <w:t>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6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2126"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其中：财政拨款</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800</w:t>
            </w:r>
            <w:r>
              <w:rPr>
                <w:rFonts w:hint="eastAsia"/>
                <w:sz w:val="13"/>
                <w:szCs w:val="13"/>
              </w:rPr>
              <w:t>万</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7</w:t>
            </w:r>
            <w:r>
              <w:rPr>
                <w:sz w:val="13"/>
                <w:szCs w:val="13"/>
              </w:rPr>
              <w:t>10.15</w:t>
            </w:r>
            <w:r>
              <w:rPr>
                <w:rFonts w:hint="eastAsia"/>
                <w:sz w:val="13"/>
                <w:szCs w:val="13"/>
              </w:rPr>
              <w:t>万</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6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2126"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其他资金</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b/>
                <w:color w:val="000000"/>
                <w:sz w:val="13"/>
                <w:szCs w:val="13"/>
              </w:rPr>
              <w:t>-</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b/>
                <w:color w:val="000000"/>
                <w:sz w:val="13"/>
                <w:szCs w:val="13"/>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年度总体目标完成情况</w:t>
            </w:r>
          </w:p>
        </w:tc>
        <w:tc>
          <w:tcPr>
            <w:tcW w:w="343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预期目标</w:t>
            </w:r>
          </w:p>
        </w:tc>
        <w:tc>
          <w:tcPr>
            <w:tcW w:w="4165"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目标实际完成情况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3436" w:type="dxa"/>
            <w:gridSpan w:val="4"/>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color w:val="000000"/>
                <w:sz w:val="13"/>
                <w:szCs w:val="13"/>
              </w:rPr>
              <w:t>1.汇聚全区公共资源交易数据，进行数据清洗、建模后形成大数据平台服务交易活动.2.为自治区公共资源交易工作提供技术支撑；3、创建全区自然资源交易一张网系统，优化用户体验，提升系统整合程度；4、建设工程不见面开标系统；5、建设自治区本级交易系统一体化业务处理平台，建设公共资源交易数据中心。</w:t>
            </w:r>
          </w:p>
        </w:tc>
        <w:tc>
          <w:tcPr>
            <w:tcW w:w="4165" w:type="dxa"/>
            <w:gridSpan w:val="4"/>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自然资源交易一张网已初步建设完成；部门盟市已经开始运行使用；建设工程领域不见面开标系统已正式上线运行；公共资源交易数据中心已建设完成；</w:t>
            </w:r>
            <w:r>
              <w:rPr>
                <w:rFonts w:hint="eastAsia"/>
                <w:color w:val="000000"/>
                <w:sz w:val="13"/>
                <w:szCs w:val="13"/>
              </w:rPr>
              <w:t>全区数据汇集服务平台，上联国家，下达盟市。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绩效指标</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一级指标</w:t>
            </w:r>
          </w:p>
        </w:tc>
        <w:tc>
          <w:tcPr>
            <w:tcW w:w="11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二级指标</w:t>
            </w:r>
          </w:p>
        </w:tc>
        <w:tc>
          <w:tcPr>
            <w:tcW w:w="10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三级指标</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分值</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预期指标值</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实际完成指标值</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得分</w:t>
            </w:r>
          </w:p>
        </w:tc>
        <w:tc>
          <w:tcPr>
            <w:tcW w:w="11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未完成原因及拟采取的改进措施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r>
              <w:rPr>
                <w:rFonts w:hint="eastAsia" w:ascii="宋体"/>
                <w:sz w:val="13"/>
                <w:szCs w:val="13"/>
              </w:rPr>
              <w:t>数量指标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交易数据汇聚量</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1</w:t>
            </w:r>
            <w:r>
              <w:rPr>
                <w:sz w:val="13"/>
                <w:szCs w:val="13"/>
              </w:rPr>
              <w:t>500</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2000</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质量指标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建成全区公共资源交易大数据应用平台</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color w:val="000000"/>
                <w:sz w:val="13"/>
                <w:szCs w:val="13"/>
              </w:rPr>
              <w:t>1</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0</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6</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因资金不足推迟至</w:t>
            </w:r>
            <w:r>
              <w:rPr>
                <w:sz w:val="13"/>
                <w:szCs w:val="13"/>
              </w:rPr>
              <w:t>2021年招标建设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时效指标</w:t>
            </w:r>
          </w:p>
        </w:tc>
        <w:tc>
          <w:tcPr>
            <w:tcW w:w="10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color w:val="000000"/>
                <w:sz w:val="13"/>
                <w:szCs w:val="13"/>
              </w:rPr>
              <w:t>每个项目的交易监管时间</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bCs/>
                <w:color w:val="000000"/>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color w:val="000000"/>
                <w:sz w:val="13"/>
                <w:szCs w:val="13"/>
              </w:rPr>
              <w:t>4</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color w:val="000000"/>
                <w:sz w:val="13"/>
                <w:szCs w:val="13"/>
              </w:rPr>
              <w:t>3</w:t>
            </w:r>
            <w:r>
              <w:rPr>
                <w:color w:val="000000"/>
                <w:sz w:val="13"/>
                <w:szCs w:val="13"/>
              </w:rPr>
              <w:t>.5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color w:val="000000"/>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成本指标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节约的制度性交易监管成本</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800</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800</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9.5</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(30分)</w:t>
            </w:r>
            <w:r>
              <w:rPr>
                <w:b/>
                <w:color w:val="000000"/>
                <w:sz w:val="13"/>
                <w:szCs w:val="13"/>
              </w:rPr>
              <w:t xml:space="preserve"> </w:t>
            </w:r>
            <w:r>
              <w:rPr>
                <w:rFonts w:hint="eastAsia" w:ascii="宋体" w:hAnsi="宋体" w:cs="宋体"/>
                <w:b/>
                <w:color w:val="000000"/>
                <w:sz w:val="13"/>
                <w:szCs w:val="13"/>
              </w:rPr>
              <w:t>效益指标</w:t>
            </w:r>
          </w:p>
        </w:tc>
        <w:tc>
          <w:tcPr>
            <w:tcW w:w="111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经济效益指标</w:t>
            </w:r>
          </w:p>
        </w:tc>
        <w:tc>
          <w:tcPr>
            <w:tcW w:w="10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交易项目数据的汇聚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1</w:t>
            </w:r>
            <w:r>
              <w:rPr>
                <w:sz w:val="13"/>
                <w:szCs w:val="13"/>
              </w:rPr>
              <w:t>0</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1</w:t>
            </w:r>
            <w:r>
              <w:rPr>
                <w:sz w:val="13"/>
                <w:szCs w:val="13"/>
              </w:rPr>
              <w:t>0000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1</w:t>
            </w:r>
            <w:r>
              <w:rPr>
                <w:sz w:val="13"/>
                <w:szCs w:val="13"/>
              </w:rPr>
              <w:t>2000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1</w:t>
            </w:r>
            <w:r>
              <w:rPr>
                <w:sz w:val="13"/>
                <w:szCs w:val="13"/>
              </w:rPr>
              <w:t>0</w:t>
            </w:r>
          </w:p>
        </w:tc>
        <w:tc>
          <w:tcPr>
            <w:tcW w:w="11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社会效益指标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项目远程交易</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生态效益指标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项目交易无纸化</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90</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95</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可持续影响指标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项目交易公开性公平性</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优良中低差</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优</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4" w:hRule="atLeast"/>
        </w:trPr>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满意度指标(10分)</w:t>
            </w:r>
          </w:p>
        </w:tc>
        <w:tc>
          <w:tcPr>
            <w:tcW w:w="111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服务对象满意度指标</w:t>
            </w:r>
          </w:p>
        </w:tc>
        <w:tc>
          <w:tcPr>
            <w:tcW w:w="10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color w:val="000000"/>
                <w:sz w:val="13"/>
                <w:szCs w:val="13"/>
              </w:rPr>
              <w:t>公共资源交易各方主体满意度</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bCs/>
                <w:color w:val="000000"/>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color w:val="000000"/>
                <w:sz w:val="13"/>
                <w:szCs w:val="13"/>
              </w:rPr>
              <w:t>≥9</w:t>
            </w:r>
            <w:r>
              <w:rPr>
                <w:rFonts w:hint="eastAsia"/>
                <w:color w:val="000000"/>
                <w:sz w:val="13"/>
                <w:szCs w:val="13"/>
              </w:rPr>
              <w:t>0</w:t>
            </w:r>
            <w:r>
              <w:rPr>
                <w:color w:val="000000"/>
                <w:sz w:val="13"/>
                <w:szCs w:val="13"/>
              </w:rPr>
              <w:t>%</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color w:val="000000"/>
                <w:sz w:val="13"/>
                <w:szCs w:val="13"/>
              </w:rPr>
              <w:t>≥9</w:t>
            </w:r>
            <w:r>
              <w:rPr>
                <w:rFonts w:hint="eastAsia"/>
                <w:color w:val="000000"/>
                <w:sz w:val="13"/>
                <w:szCs w:val="13"/>
              </w:rPr>
              <w:t>0</w:t>
            </w:r>
            <w:r>
              <w:rPr>
                <w:color w:val="000000"/>
                <w:sz w:val="13"/>
                <w:szCs w:val="13"/>
              </w:rPr>
              <w:t>%</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bCs/>
                <w:color w:val="000000"/>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79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总分</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rFonts w:hint="default" w:eastAsia="宋体"/>
                <w:sz w:val="13"/>
                <w:szCs w:val="13"/>
                <w:lang w:val="en-US" w:eastAsia="zh-CN"/>
              </w:rPr>
            </w:pPr>
            <w:r>
              <w:rPr>
                <w:rFonts w:hint="eastAsia" w:ascii="宋体" w:hAnsi="宋体" w:cs="宋体"/>
                <w:b/>
                <w:color w:val="000000"/>
                <w:sz w:val="13"/>
                <w:szCs w:val="13"/>
                <w:lang w:val="en-US" w:eastAsia="zh-CN"/>
              </w:rPr>
              <w:t>100</w:t>
            </w:r>
          </w:p>
        </w:tc>
        <w:tc>
          <w:tcPr>
            <w:tcW w:w="1276" w:type="dxa"/>
            <w:tcBorders>
              <w:top w:val="nil"/>
              <w:left w:val="nil"/>
              <w:bottom w:val="single" w:color="auto" w:sz="8" w:space="0"/>
              <w:right w:val="single" w:color="auto" w:sz="4"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single" w:color="auto" w:sz="4" w:space="0"/>
              <w:bottom w:val="single" w:color="auto" w:sz="8" w:space="0"/>
              <w:right w:val="single" w:color="auto" w:sz="8" w:space="0"/>
            </w:tcBorders>
            <w:shd w:val="clear" w:color="auto" w:fill="auto"/>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rFonts w:hint="default" w:eastAsia="宋体"/>
                <w:sz w:val="13"/>
                <w:szCs w:val="13"/>
                <w:lang w:val="en-US" w:eastAsia="zh-CN"/>
              </w:rPr>
            </w:pPr>
            <w:r>
              <w:rPr>
                <w:rFonts w:hint="eastAsia"/>
                <w:sz w:val="13"/>
                <w:szCs w:val="13"/>
                <w:lang w:val="en-US" w:eastAsia="zh-CN"/>
              </w:rPr>
              <w:t>94.3</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bl>
    <w:p>
      <w:pPr>
        <w:numPr>
          <w:ilvl w:val="255"/>
          <w:numId w:val="0"/>
        </w:numPr>
        <w:topLinePunct/>
        <w:spacing w:line="360" w:lineRule="auto"/>
        <w:jc w:val="both"/>
        <w:rPr>
          <w:rFonts w:ascii="华文仿宋" w:hAnsi="华文仿宋" w:eastAsia="华文仿宋" w:cs="方正黑体_GBK"/>
          <w:sz w:val="32"/>
          <w:szCs w:val="32"/>
        </w:rPr>
      </w:pPr>
    </w:p>
    <w:p>
      <w:pPr>
        <w:numPr>
          <w:ilvl w:val="0"/>
          <w:numId w:val="0"/>
        </w:numPr>
        <w:topLinePunct/>
        <w:spacing w:line="360" w:lineRule="auto"/>
        <w:ind w:firstLine="641" w:firstLineChars="200"/>
        <w:jc w:val="both"/>
        <w:rPr>
          <w:rFonts w:hint="eastAsia" w:ascii="华文仿宋" w:hAnsi="华文仿宋" w:eastAsia="华文仿宋" w:cs="宋体"/>
          <w:b/>
          <w:bCs/>
          <w:color w:val="333333"/>
          <w:kern w:val="0"/>
          <w:sz w:val="32"/>
          <w:szCs w:val="32"/>
          <w:shd w:val="clear" w:color="auto" w:fill="FFFFFF"/>
          <w:lang w:val="en-US" w:eastAsia="zh-CN" w:bidi="ar-SA"/>
        </w:rPr>
      </w:pPr>
      <w:r>
        <w:rPr>
          <w:rFonts w:hint="eastAsia" w:ascii="华文仿宋" w:hAnsi="华文仿宋" w:eastAsia="华文仿宋" w:cs="宋体"/>
          <w:b/>
          <w:bCs/>
          <w:color w:val="333333"/>
          <w:kern w:val="0"/>
          <w:sz w:val="32"/>
          <w:szCs w:val="32"/>
          <w:shd w:val="clear" w:color="auto" w:fill="FFFFFF"/>
          <w:lang w:val="en-US" w:eastAsia="zh-CN" w:bidi="ar-SA"/>
        </w:rPr>
        <w:t>四、绩效评价指标分析</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（一）项目决策情况。</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评价认为，项目在保证项目正常运行的前提下，成本控制情况良好，成本投入与项目工作内容匹配程序较好。项目管理较规范，但应强化项目前期需求工作，对项目的建设内容作出更加准确的需求预测，提高招标预算的约束作用。</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（二）项目过程情况。</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项目资金严格按照行政事业单位项目资金管理的有关规定执行。预算编制科学合理，预算执行率为88.77%。</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项目单位制定了切实贴合本单位的业务管理制度，项目单位业务管理制度健全。</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（三）项目产出情况。</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各系统均已完成开发工作，全区自然资源一张网运行稳定，工程不见面开标系统正常运行，确保了疫情期间项目的正常开展，年度目标均已完成。</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（四）项目效益情况。</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采购预算资金节约率11.23%、预算执行率88.77%、项目可持续。年度指标均已完成。</w:t>
      </w:r>
    </w:p>
    <w:p>
      <w:pPr>
        <w:numPr>
          <w:ilvl w:val="0"/>
          <w:numId w:val="0"/>
        </w:numPr>
        <w:topLinePunct/>
        <w:spacing w:line="360" w:lineRule="auto"/>
        <w:ind w:firstLine="641" w:firstLineChars="200"/>
        <w:jc w:val="both"/>
        <w:rPr>
          <w:rFonts w:hint="eastAsia" w:ascii="华文仿宋" w:hAnsi="华文仿宋" w:eastAsia="华文仿宋" w:cs="宋体"/>
          <w:b/>
          <w:bCs/>
          <w:color w:val="333333"/>
          <w:kern w:val="0"/>
          <w:sz w:val="32"/>
          <w:szCs w:val="32"/>
          <w:shd w:val="clear" w:color="auto" w:fill="FFFFFF"/>
          <w:lang w:val="en-US" w:eastAsia="zh-CN" w:bidi="ar-SA"/>
        </w:rPr>
      </w:pPr>
      <w:r>
        <w:rPr>
          <w:rFonts w:hint="eastAsia" w:ascii="华文仿宋" w:hAnsi="华文仿宋" w:eastAsia="华文仿宋" w:cs="宋体"/>
          <w:b/>
          <w:bCs/>
          <w:color w:val="333333"/>
          <w:kern w:val="0"/>
          <w:sz w:val="32"/>
          <w:szCs w:val="32"/>
          <w:shd w:val="clear" w:color="auto" w:fill="FFFFFF"/>
          <w:lang w:val="en-US" w:eastAsia="zh-CN" w:bidi="ar-SA"/>
        </w:rPr>
        <w:t>五、主要经验及做法、存在的问题及原因分析</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工程不见面开标平台进行了大量优化改进提升了交易效率、服务水平。为参与工程项目的供应商节约了大量差旅费、标书费等，同时为疫情防控提供了有力保障。</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全区自然资源一张网实现了各盟市自然资源交易同平台、数据不分家，为国家、用户提供了便利条件，为后续的自然资源数据分析工作提供便利。</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交易平台完善数据共享，实现于各平台数据对接。提升“互联网+政府服务”能力。</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需进一步提高电子交易系统用户满意度。要不断优化改进各系统用户体验，满足用户需求，同时适应新发布的政策法规，满足不断变化的需求，进一步优化营商环境。</w:t>
      </w:r>
    </w:p>
    <w:p>
      <w:pPr>
        <w:numPr>
          <w:ilvl w:val="0"/>
          <w:numId w:val="0"/>
        </w:numPr>
        <w:topLinePunct/>
        <w:spacing w:line="360" w:lineRule="auto"/>
        <w:ind w:firstLine="641" w:firstLineChars="200"/>
        <w:jc w:val="both"/>
        <w:rPr>
          <w:rFonts w:hint="eastAsia" w:ascii="华文仿宋" w:hAnsi="华文仿宋" w:eastAsia="华文仿宋" w:cs="宋体"/>
          <w:b/>
          <w:bCs/>
          <w:color w:val="333333"/>
          <w:kern w:val="0"/>
          <w:sz w:val="32"/>
          <w:szCs w:val="32"/>
          <w:shd w:val="clear" w:color="auto" w:fill="FFFFFF"/>
          <w:lang w:val="en-US" w:eastAsia="zh-CN" w:bidi="ar-SA"/>
        </w:rPr>
      </w:pPr>
      <w:r>
        <w:rPr>
          <w:rFonts w:hint="eastAsia" w:ascii="华文仿宋" w:hAnsi="华文仿宋" w:eastAsia="华文仿宋" w:cs="宋体"/>
          <w:b/>
          <w:bCs/>
          <w:color w:val="333333"/>
          <w:kern w:val="0"/>
          <w:sz w:val="32"/>
          <w:szCs w:val="32"/>
          <w:shd w:val="clear" w:color="auto" w:fill="FFFFFF"/>
          <w:lang w:val="en-US" w:eastAsia="zh-CN" w:bidi="ar-SA"/>
        </w:rPr>
        <w:t>六、有关建议</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建议进一步完善绩效管理机制。应按照国家政策、发展规划及单位职能职责，根据专项实际工作任务和经费情况，结合项目特点、专家论证、可行性研究结果，科学合理的编报绩效目标，绩效目标设定时应充分考虑指标的可量化性、数据的可采集性、方法的可操作性、目标的可实现性、绩效的可考核性。</w:t>
      </w:r>
    </w:p>
    <w:p>
      <w:pPr>
        <w:numPr>
          <w:ilvl w:val="0"/>
          <w:numId w:val="0"/>
        </w:numPr>
        <w:topLinePunct/>
        <w:spacing w:line="360" w:lineRule="auto"/>
        <w:ind w:firstLine="641" w:firstLineChars="200"/>
        <w:jc w:val="both"/>
        <w:rPr>
          <w:rFonts w:hint="eastAsia" w:ascii="华文仿宋" w:hAnsi="华文仿宋" w:eastAsia="华文仿宋" w:cs="宋体"/>
          <w:b/>
          <w:bCs/>
          <w:color w:val="333333"/>
          <w:kern w:val="0"/>
          <w:sz w:val="32"/>
          <w:szCs w:val="32"/>
          <w:shd w:val="clear" w:color="auto" w:fill="FFFFFF"/>
          <w:lang w:val="en-US" w:eastAsia="zh-CN" w:bidi="ar-SA"/>
        </w:rPr>
      </w:pPr>
      <w:r>
        <w:rPr>
          <w:rFonts w:hint="eastAsia" w:ascii="华文仿宋" w:hAnsi="华文仿宋" w:eastAsia="华文仿宋" w:cs="宋体"/>
          <w:b/>
          <w:bCs/>
          <w:color w:val="333333"/>
          <w:kern w:val="0"/>
          <w:sz w:val="32"/>
          <w:szCs w:val="32"/>
          <w:shd w:val="clear" w:color="auto" w:fill="FFFFFF"/>
          <w:lang w:val="en-US" w:eastAsia="zh-CN" w:bidi="ar-SA"/>
        </w:rPr>
        <w:t>七、其他需说明的问题</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auto"/>
    <w:pitch w:val="default"/>
    <w:sig w:usb0="00000000" w:usb1="00000000" w:usb2="00082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5A922"/>
    <w:multiLevelType w:val="singleLevel"/>
    <w:tmpl w:val="7BF5A922"/>
    <w:lvl w:ilvl="0" w:tentative="0">
      <w:start w:val="3"/>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0B5AD"/>
    <w:rsid w:val="001A009B"/>
    <w:rsid w:val="00384A53"/>
    <w:rsid w:val="00AA6923"/>
    <w:rsid w:val="00B9275F"/>
    <w:rsid w:val="00DE71F9"/>
    <w:rsid w:val="00E74BDD"/>
    <w:rsid w:val="01A34013"/>
    <w:rsid w:val="0855150A"/>
    <w:rsid w:val="131C089D"/>
    <w:rsid w:val="1C2C4412"/>
    <w:rsid w:val="1F944F6C"/>
    <w:rsid w:val="2C881680"/>
    <w:rsid w:val="36806070"/>
    <w:rsid w:val="441F4F9B"/>
    <w:rsid w:val="4F814D3F"/>
    <w:rsid w:val="5FED3BEB"/>
    <w:rsid w:val="7BAC0729"/>
    <w:rsid w:val="7FF0B5AD"/>
    <w:rsid w:val="7FFF8DD4"/>
    <w:rsid w:val="99E9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Hyperlink"/>
    <w:qFormat/>
    <w:uiPriority w:val="0"/>
    <w:rPr>
      <w:color w:val="0000FF"/>
      <w:u w:val="single"/>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 w:type="character" w:customStyle="1" w:styleId="10">
    <w:name w:val="page number"/>
    <w:basedOn w:val="6"/>
    <w:qFormat/>
    <w:uiPriority w:val="0"/>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555</Words>
  <Characters>3167</Characters>
  <Lines>26</Lines>
  <Paragraphs>7</Paragraphs>
  <TotalTime>43</TotalTime>
  <ScaleCrop>false</ScaleCrop>
  <LinksUpToDate>false</LinksUpToDate>
  <CharactersWithSpaces>3715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2021-01-30T01:34:00Z</dcterms:created>
  <dc:creator>thtf</dc:creator>
  <cp:lastModifiedBy>龙宝</cp:lastModifiedBy>
  <dcterms:modified xsi:type="dcterms:W3CDTF">2021-08-27T02:46:23Z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