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35"/>
        <w:jc w:val="center"/>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eastAsia="黑体"/>
          <w:sz w:val="52"/>
          <w:szCs w:val="52"/>
        </w:rPr>
      </w:pPr>
      <w:r>
        <w:rPr>
          <w:rFonts w:hint="eastAsia" w:ascii="黑体" w:eastAsia="黑体"/>
          <w:sz w:val="52"/>
          <w:szCs w:val="52"/>
          <w:lang w:val="en-US" w:eastAsia="zh-CN"/>
        </w:rPr>
        <w:t>呼和浩特市</w:t>
      </w:r>
      <w:r>
        <w:rPr>
          <w:rFonts w:hint="eastAsia" w:ascii="黑体" w:eastAsia="黑体"/>
          <w:sz w:val="52"/>
          <w:szCs w:val="52"/>
        </w:rPr>
        <w:t>房屋建筑和市政工程</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eastAsia="黑体"/>
          <w:sz w:val="84"/>
          <w:szCs w:val="84"/>
        </w:rPr>
      </w:pPr>
      <w:r>
        <w:rPr>
          <w:rFonts w:hint="eastAsia" w:ascii="黑体" w:eastAsia="黑体"/>
          <w:sz w:val="84"/>
          <w:szCs w:val="84"/>
        </w:rPr>
        <w:t>标准</w:t>
      </w:r>
      <w:r>
        <w:rPr>
          <w:rFonts w:hint="eastAsia" w:ascii="黑体" w:eastAsia="黑体"/>
          <w:sz w:val="84"/>
          <w:szCs w:val="84"/>
          <w:lang w:val="en-US" w:eastAsia="zh-CN"/>
        </w:rPr>
        <w:t>监理</w:t>
      </w:r>
      <w:r>
        <w:rPr>
          <w:rFonts w:hint="eastAsia" w:ascii="黑体" w:eastAsia="黑体"/>
          <w:sz w:val="84"/>
          <w:szCs w:val="84"/>
        </w:rPr>
        <w:t>招标文件</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rFonts w:hint="eastAsia" w:ascii="黑体" w:eastAsia="黑体"/>
          <w:sz w:val="52"/>
          <w:szCs w:val="52"/>
          <w:lang w:eastAsia="zh-CN"/>
        </w:rPr>
        <w:t>（</w:t>
      </w:r>
      <w:r>
        <w:rPr>
          <w:rFonts w:hint="eastAsia" w:ascii="黑体" w:eastAsia="黑体"/>
          <w:sz w:val="52"/>
          <w:szCs w:val="52"/>
          <w:lang w:val="en-US" w:eastAsia="zh-CN"/>
        </w:rPr>
        <w:t>适用于评定分离</w:t>
      </w:r>
      <w:r>
        <w:rPr>
          <w:rFonts w:hint="eastAsia" w:ascii="黑体" w:eastAsia="黑体"/>
          <w:sz w:val="52"/>
          <w:szCs w:val="52"/>
          <w:lang w:eastAsia="zh-CN"/>
        </w:rPr>
        <w:t>）</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sz w:val="44"/>
          <w:szCs w:val="44"/>
        </w:rPr>
        <w:t>20</w:t>
      </w:r>
      <w:r>
        <w:rPr>
          <w:rFonts w:hint="eastAsia"/>
          <w:sz w:val="44"/>
          <w:szCs w:val="44"/>
          <w:lang w:val="en-US" w:eastAsia="zh-CN"/>
        </w:rPr>
        <w:t>23</w:t>
      </w:r>
      <w:r>
        <w:rPr>
          <w:sz w:val="44"/>
          <w:szCs w:val="44"/>
        </w:rPr>
        <w:t>年版</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rPr>
      </w:pPr>
    </w:p>
    <w:p>
      <w:pPr>
        <w:ind w:firstLine="435"/>
        <w:jc w:val="center"/>
        <w:rPr>
          <w:rFonts w:hint="eastAsia"/>
        </w:rPr>
      </w:pPr>
    </w:p>
    <w:p>
      <w:pPr>
        <w:ind w:firstLine="435"/>
        <w:jc w:val="center"/>
        <w:rPr>
          <w:rFonts w:hint="eastAsia"/>
        </w:rPr>
      </w:pPr>
    </w:p>
    <w:p>
      <w:pPr>
        <w:topLinePunct/>
        <w:spacing w:line="400" w:lineRule="atLeast"/>
        <w:jc w:val="center"/>
        <w:rPr>
          <w:rStyle w:val="68"/>
          <w:rFonts w:ascii="Times New Roman" w:hAnsi="Times New Roman" w:eastAsia="方正姚体"/>
          <w:spacing w:val="-24"/>
          <w:kern w:val="10"/>
          <w:sz w:val="52"/>
          <w:szCs w:val="52"/>
        </w:rPr>
      </w:pPr>
    </w:p>
    <w:p>
      <w:pPr>
        <w:jc w:val="center"/>
        <w:rPr>
          <w:rFonts w:ascii="Times New Roman" w:hAnsi="Times New Roman" w:eastAsia="黑体"/>
          <w:sz w:val="72"/>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一、《标准监理招标文件》适用于</w:t>
      </w:r>
      <w:r>
        <w:rPr>
          <w:rFonts w:hint="eastAsia" w:ascii="Times New Roman" w:hAnsi="Times New Roman" w:eastAsiaTheme="minorEastAsia"/>
          <w:sz w:val="24"/>
          <w:szCs w:val="24"/>
        </w:rPr>
        <w:t>工程</w:t>
      </w:r>
      <w:r>
        <w:rPr>
          <w:rFonts w:ascii="Times New Roman" w:hAnsi="Times New Roman" w:eastAsiaTheme="minorEastAsia"/>
          <w:sz w:val="24"/>
          <w:szCs w:val="24"/>
        </w:rPr>
        <w:t>监理招标。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监理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监理招标文件》第一章的格式发布招标公告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四、《标准监理招标文件》第三章“评标办法”规定综合评估法。各评审因素的评审标准、分值和权重等由招标人自主确定。国务院有关部门对各评审因素的评审标准、分值和权重等有规定的，从其规定。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五、《标准监理招标文件》第</w:t>
      </w:r>
      <w:r>
        <w:rPr>
          <w:rFonts w:hint="eastAsia" w:ascii="Times New Roman" w:hAnsi="Times New Roman" w:eastAsiaTheme="minorEastAsia"/>
          <w:sz w:val="24"/>
          <w:szCs w:val="24"/>
          <w:lang w:val="en-US" w:eastAsia="zh-CN"/>
        </w:rPr>
        <w:t>六</w:t>
      </w:r>
      <w:r>
        <w:rPr>
          <w:rFonts w:ascii="Times New Roman" w:hAnsi="Times New Roman" w:eastAsiaTheme="minorEastAsia"/>
          <w:sz w:val="24"/>
          <w:szCs w:val="24"/>
        </w:rPr>
        <w:t>章“</w:t>
      </w:r>
      <w:r>
        <w:rPr>
          <w:rFonts w:ascii="Times New Roman" w:hAnsi="Times New Roman" w:eastAsiaTheme="minorEastAsia"/>
          <w:sz w:val="24"/>
        </w:rPr>
        <w:t>委托人要求</w:t>
      </w:r>
      <w:r>
        <w:rPr>
          <w:rFonts w:ascii="Times New Roman" w:hAnsi="Times New Roman" w:eastAsiaTheme="minorEastAsia"/>
          <w:sz w:val="24"/>
          <w:szCs w:val="24"/>
        </w:rPr>
        <w:t>”由招标人根据行业标准</w:t>
      </w:r>
      <w:r>
        <w:rPr>
          <w:rFonts w:ascii="Times New Roman" w:hAnsi="Times New Roman" w:eastAsiaTheme="minorEastAsia"/>
          <w:sz w:val="24"/>
        </w:rPr>
        <w:t>监理</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七、《标准监理招标文件》为20</w:t>
      </w:r>
      <w:r>
        <w:rPr>
          <w:rFonts w:hint="eastAsia" w:ascii="Times New Roman" w:hAnsi="Times New Roman" w:eastAsiaTheme="minorEastAsia"/>
          <w:sz w:val="24"/>
          <w:szCs w:val="24"/>
          <w:lang w:val="en-US" w:eastAsia="zh-CN"/>
        </w:rPr>
        <w:t>23</w:t>
      </w:r>
      <w:r>
        <w:rPr>
          <w:rFonts w:ascii="Times New Roman" w:hAnsi="Times New Roman" w:eastAsiaTheme="minorEastAsia"/>
          <w:sz w:val="24"/>
          <w:szCs w:val="24"/>
        </w:rPr>
        <w:t>年版，将根据实际执行过程中出现的问题及时进行修改。</w:t>
      </w:r>
    </w:p>
    <w:p>
      <w:pPr>
        <w:spacing w:line="400" w:lineRule="exact"/>
        <w:rPr>
          <w:rFonts w:ascii="Times New Roman" w:hAnsi="Times New Roman" w:eastAsiaTheme="minorEastAsia"/>
          <w:sz w:val="24"/>
          <w:szCs w:val="24"/>
        </w:rPr>
      </w:pPr>
    </w:p>
    <w:p>
      <w:pPr>
        <w:spacing w:line="400" w:lineRule="exact"/>
        <w:rPr>
          <w:rFonts w:ascii="Times New Roman" w:hAnsi="Times New Roman" w:eastAsiaTheme="minorEastAsia"/>
          <w:sz w:val="24"/>
          <w:szCs w:val="24"/>
        </w:rPr>
      </w:pPr>
    </w:p>
    <w:p>
      <w:pPr>
        <w:spacing w:line="400" w:lineRule="exact"/>
        <w:rPr>
          <w:rFonts w:ascii="Times New Roman" w:hAnsi="Times New Roman" w:eastAsiaTheme="minorEastAsia"/>
          <w:sz w:val="24"/>
          <w:szCs w:val="24"/>
        </w:rPr>
      </w:pPr>
    </w:p>
    <w:p>
      <w:pPr>
        <w:spacing w:line="400" w:lineRule="exact"/>
        <w:rPr>
          <w:rFonts w:ascii="Times New Roman" w:hAnsi="Times New Roman" w:eastAsiaTheme="minorEastAsia"/>
          <w:sz w:val="24"/>
          <w:szCs w:val="24"/>
        </w:rPr>
      </w:pPr>
    </w:p>
    <w:p>
      <w:pPr>
        <w:spacing w:line="540" w:lineRule="exact"/>
        <w:rPr>
          <w:rFonts w:hint="eastAsia" w:ascii="仿宋_GB2312" w:eastAsia="仿宋_GB2312"/>
          <w:sz w:val="28"/>
          <w:szCs w:val="28"/>
        </w:rPr>
      </w:pPr>
      <w:bookmarkStart w:id="0" w:name="_Toc144974479"/>
      <w:bookmarkStart w:id="1" w:name="_Toc152045511"/>
      <w:bookmarkStart w:id="2" w:name="_Toc152042287"/>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sz w:val="32"/>
          <w:szCs w:val="32"/>
          <w:lang w:val="en-US" w:eastAsia="zh-CN"/>
        </w:rPr>
      </w:pPr>
      <w:r>
        <w:rPr>
          <w:rFonts w:hint="eastAsia" w:ascii="黑体" w:hAnsi="宋体" w:eastAsia="黑体" w:cs="Times New Roman"/>
          <w:sz w:val="32"/>
          <w:szCs w:val="32"/>
          <w:lang w:val="en-US" w:eastAsia="zh-CN"/>
        </w:rPr>
        <w:t>招标代理：</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宋体" w:hAnsi="宋体"/>
          <w:b/>
          <w:sz w:val="52"/>
          <w:szCs w:val="52"/>
        </w:rPr>
      </w:pPr>
      <w:r>
        <w:rPr>
          <w:rFonts w:hint="eastAsia" w:ascii="黑体" w:hAnsi="宋体" w:eastAsia="黑体" w:cs="Times New Roman"/>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pStyle w:val="67"/>
        <w:jc w:val="center"/>
        <w:rPr>
          <w:rFonts w:ascii="Times New Roman" w:hAnsi="Times New Roman" w:eastAsia="黑体"/>
          <w:b w:val="0"/>
          <w:color w:val="auto"/>
        </w:rPr>
      </w:pPr>
      <w:r>
        <w:rPr>
          <w:rFonts w:hint="eastAsia" w:ascii="宋体" w:hAnsi="宋体"/>
          <w:b/>
          <w:color w:val="auto"/>
          <w:sz w:val="22"/>
          <w:szCs w:val="22"/>
        </w:rPr>
        <w:t>呼和浩特</w:t>
      </w:r>
      <w:r>
        <w:rPr>
          <w:rFonts w:hint="eastAsia" w:ascii="宋体" w:hAnsi="宋体"/>
          <w:b/>
          <w:color w:val="auto"/>
          <w:sz w:val="22"/>
          <w:szCs w:val="22"/>
          <w:lang w:val="en-US" w:eastAsia="zh-CN"/>
        </w:rPr>
        <w:t>市</w:t>
      </w:r>
      <w:r>
        <w:rPr>
          <w:rFonts w:hint="eastAsia" w:ascii="宋体" w:hAnsi="宋体"/>
          <w:b/>
          <w:color w:val="auto"/>
          <w:sz w:val="22"/>
          <w:szCs w:val="22"/>
        </w:rPr>
        <w:t>建设工程</w:t>
      </w:r>
      <w:r>
        <w:rPr>
          <w:rFonts w:hint="eastAsia" w:ascii="宋体" w:hAnsi="宋体"/>
          <w:b/>
          <w:color w:val="auto"/>
          <w:sz w:val="22"/>
          <w:szCs w:val="22"/>
          <w:lang w:val="en-US" w:eastAsia="zh-CN"/>
        </w:rPr>
        <w:t>监理范本2022</w:t>
      </w:r>
      <w:r>
        <w:rPr>
          <w:rFonts w:ascii="宋体" w:hAnsi="宋体"/>
          <w:b/>
          <w:color w:val="auto"/>
          <w:sz w:val="52"/>
          <w:szCs w:val="52"/>
        </w:rPr>
        <w:br w:type="page"/>
      </w:r>
      <w:r>
        <w:rPr>
          <w:rFonts w:ascii="Times New Roman" w:hAnsi="Times New Roman" w:eastAsia="黑体"/>
          <w:b w:val="0"/>
          <w:color w:val="auto"/>
          <w:lang w:val="zh-CN"/>
        </w:rPr>
        <w:t>目  录</w:t>
      </w:r>
    </w:p>
    <w:p>
      <w:pPr>
        <w:pStyle w:val="26"/>
        <w:tabs>
          <w:tab w:val="right" w:leader="dot" w:pos="8630"/>
        </w:tabs>
        <w:jc w:val="center"/>
        <w:rPr>
          <w:rFonts w:ascii="Times New Roman" w:hAnsi="Times New Roman"/>
        </w:rPr>
      </w:pP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TOC \o "1-3" \h \z \u </w:instrText>
      </w:r>
      <w:r>
        <w:rPr>
          <w:rFonts w:hint="eastAsia" w:ascii="黑体" w:hAnsi="黑体" w:eastAsia="黑体" w:cs="黑体"/>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_Toc2518 </w:instrText>
      </w:r>
      <w:r>
        <w:rPr>
          <w:rFonts w:hint="eastAsia" w:ascii="黑体" w:hAnsi="黑体" w:eastAsia="黑体" w:cs="黑体"/>
        </w:rPr>
        <w:fldChar w:fldCharType="separate"/>
      </w:r>
      <w:r>
        <w:rPr>
          <w:rFonts w:hint="eastAsia" w:ascii="黑体" w:hAnsi="黑体" w:eastAsia="黑体" w:cs="黑体"/>
          <w:szCs w:val="32"/>
        </w:rPr>
        <w:t>第一章  招标公告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_Toc2518 \h </w:instrText>
      </w:r>
      <w:r>
        <w:rPr>
          <w:rFonts w:hint="eastAsia" w:ascii="黑体" w:hAnsi="黑体" w:eastAsia="黑体" w:cs="黑体"/>
        </w:rPr>
        <w:fldChar w:fldCharType="separate"/>
      </w:r>
      <w:r>
        <w:rPr>
          <w:rFonts w:hint="eastAsia" w:ascii="黑体" w:hAnsi="黑体" w:eastAsia="黑体" w:cs="黑体"/>
        </w:rPr>
        <w:t>8</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_Toc32319 </w:instrText>
      </w:r>
      <w:r>
        <w:rPr>
          <w:rFonts w:hint="eastAsia" w:ascii="黑体" w:hAnsi="黑体" w:eastAsia="黑体" w:cs="黑体"/>
        </w:rPr>
        <w:fldChar w:fldCharType="separate"/>
      </w:r>
      <w:r>
        <w:rPr>
          <w:rFonts w:hint="eastAsia" w:ascii="黑体" w:hAnsi="黑体" w:eastAsia="黑体" w:cs="黑体"/>
          <w:szCs w:val="32"/>
        </w:rPr>
        <w:t>第二章投标人须知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_Toc32319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_Toc17332 </w:instrText>
      </w:r>
      <w:r>
        <w:rPr>
          <w:rFonts w:hint="eastAsia" w:ascii="黑体" w:hAnsi="黑体" w:eastAsia="黑体" w:cs="黑体"/>
        </w:rPr>
        <w:fldChar w:fldCharType="separate"/>
      </w:r>
      <w:r>
        <w:rPr>
          <w:rFonts w:hint="eastAsia" w:ascii="黑体" w:hAnsi="黑体" w:eastAsia="黑体" w:cs="黑体"/>
          <w:bCs/>
          <w:szCs w:val="24"/>
        </w:rPr>
        <w:t>投标人须知前附表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_Toc17332 \h </w:instrText>
      </w:r>
      <w:r>
        <w:rPr>
          <w:rFonts w:hint="eastAsia" w:ascii="黑体" w:hAnsi="黑体" w:eastAsia="黑体" w:cs="黑体"/>
        </w:rPr>
        <w:fldChar w:fldCharType="separate"/>
      </w:r>
      <w:r>
        <w:rPr>
          <w:rFonts w:hint="eastAsia" w:ascii="黑体" w:hAnsi="黑体" w:eastAsia="黑体" w:cs="黑体"/>
        </w:rPr>
        <w:t>10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_Toc27314 </w:instrText>
      </w:r>
      <w:r>
        <w:rPr>
          <w:rFonts w:hint="eastAsia" w:ascii="黑体" w:hAnsi="黑体" w:eastAsia="黑体" w:cs="黑体"/>
        </w:rPr>
        <w:fldChar w:fldCharType="separate"/>
      </w:r>
      <w:r>
        <w:rPr>
          <w:rFonts w:hint="eastAsia" w:ascii="黑体" w:hAnsi="黑体" w:eastAsia="黑体" w:cs="黑体"/>
        </w:rPr>
        <w:t>1. 总则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_Toc27314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_Toc12627 </w:instrText>
      </w:r>
      <w:r>
        <w:rPr>
          <w:rFonts w:hint="eastAsia" w:ascii="黑体" w:hAnsi="黑体" w:eastAsia="黑体" w:cs="黑体"/>
        </w:rPr>
        <w:fldChar w:fldCharType="separate"/>
      </w:r>
      <w:r>
        <w:rPr>
          <w:rFonts w:hint="eastAsia" w:ascii="黑体" w:hAnsi="黑体" w:eastAsia="黑体" w:cs="黑体"/>
        </w:rPr>
        <w:t>1.1 招标项目概况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_Toc12627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_Toc1427 </w:instrText>
      </w:r>
      <w:r>
        <w:rPr>
          <w:rFonts w:hint="eastAsia" w:ascii="黑体" w:hAnsi="黑体" w:eastAsia="黑体" w:cs="黑体"/>
        </w:rPr>
        <w:fldChar w:fldCharType="separate"/>
      </w:r>
      <w:r>
        <w:rPr>
          <w:rFonts w:hint="eastAsia" w:ascii="黑体" w:hAnsi="黑体" w:eastAsia="黑体" w:cs="黑体"/>
        </w:rPr>
        <w:t>1.2 招标项目的资金来源和落实情况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_Toc1427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_Toc16285 </w:instrText>
      </w:r>
      <w:r>
        <w:rPr>
          <w:rFonts w:hint="eastAsia" w:ascii="黑体" w:hAnsi="黑体" w:eastAsia="黑体" w:cs="黑体"/>
        </w:rPr>
        <w:fldChar w:fldCharType="separate"/>
      </w:r>
      <w:r>
        <w:rPr>
          <w:rFonts w:hint="eastAsia" w:ascii="黑体" w:hAnsi="黑体" w:eastAsia="黑体" w:cs="黑体"/>
        </w:rPr>
        <w:t>1.3招标范围、监理服务期限和质量标准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_Toc16285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_Toc8082 </w:instrText>
      </w:r>
      <w:r>
        <w:rPr>
          <w:rFonts w:hint="eastAsia" w:ascii="黑体" w:hAnsi="黑体" w:eastAsia="黑体" w:cs="黑体"/>
        </w:rPr>
        <w:fldChar w:fldCharType="separate"/>
      </w:r>
      <w:r>
        <w:rPr>
          <w:rFonts w:hint="eastAsia" w:ascii="黑体" w:hAnsi="黑体" w:eastAsia="黑体" w:cs="黑体"/>
        </w:rPr>
        <w:t>1.4投标人资格要求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_Toc8082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_Toc32298 </w:instrText>
      </w:r>
      <w:r>
        <w:rPr>
          <w:rFonts w:hint="eastAsia" w:ascii="黑体" w:hAnsi="黑体" w:eastAsia="黑体" w:cs="黑体"/>
        </w:rPr>
        <w:fldChar w:fldCharType="separate"/>
      </w:r>
      <w:r>
        <w:rPr>
          <w:rFonts w:hint="eastAsia" w:ascii="黑体" w:hAnsi="黑体" w:eastAsia="黑体" w:cs="黑体"/>
        </w:rPr>
        <w:t>1.5 费用承担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_Toc32298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_Toc11495 </w:instrText>
      </w:r>
      <w:r>
        <w:rPr>
          <w:rFonts w:hint="eastAsia" w:ascii="黑体" w:hAnsi="黑体" w:eastAsia="黑体" w:cs="黑体"/>
        </w:rPr>
        <w:fldChar w:fldCharType="separate"/>
      </w:r>
      <w:r>
        <w:rPr>
          <w:rFonts w:hint="eastAsia" w:ascii="黑体" w:hAnsi="黑体" w:eastAsia="黑体" w:cs="黑体"/>
        </w:rPr>
        <w:t>1.6保密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_Toc11495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_Toc12112 </w:instrText>
      </w:r>
      <w:r>
        <w:rPr>
          <w:rFonts w:hint="eastAsia" w:ascii="黑体" w:hAnsi="黑体" w:eastAsia="黑体" w:cs="黑体"/>
        </w:rPr>
        <w:fldChar w:fldCharType="separate"/>
      </w:r>
      <w:r>
        <w:rPr>
          <w:rFonts w:hint="eastAsia" w:ascii="黑体" w:hAnsi="黑体" w:eastAsia="黑体" w:cs="黑体"/>
        </w:rPr>
        <w:t>1.7 语言文字</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_Toc12112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_Toc29097 </w:instrText>
      </w:r>
      <w:r>
        <w:rPr>
          <w:rFonts w:hint="eastAsia" w:ascii="黑体" w:hAnsi="黑体" w:eastAsia="黑体" w:cs="黑体"/>
        </w:rPr>
        <w:fldChar w:fldCharType="separate"/>
      </w:r>
      <w:r>
        <w:rPr>
          <w:rFonts w:hint="eastAsia" w:ascii="黑体" w:hAnsi="黑体" w:eastAsia="黑体" w:cs="黑体"/>
        </w:rPr>
        <w:t>1.8计量单位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_Toc29097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_Toc11666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lang w:val="en-US" w:eastAsia="zh-CN"/>
        </w:rPr>
        <w:t>9</w:t>
      </w:r>
      <w:r>
        <w:rPr>
          <w:rFonts w:hint="eastAsia" w:ascii="黑体" w:hAnsi="黑体" w:eastAsia="黑体" w:cs="黑体"/>
        </w:rPr>
        <w:t>分包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_Toc11666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_Toc4588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lang w:val="en-US" w:eastAsia="zh-CN"/>
        </w:rPr>
        <w:t>0</w:t>
      </w:r>
      <w:r>
        <w:rPr>
          <w:rFonts w:hint="eastAsia" w:ascii="黑体" w:hAnsi="黑体" w:eastAsia="黑体" w:cs="黑体"/>
        </w:rPr>
        <w:t>响应和偏差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_Toc4588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_Toc31181 </w:instrText>
      </w:r>
      <w:r>
        <w:rPr>
          <w:rFonts w:hint="eastAsia" w:ascii="黑体" w:hAnsi="黑体" w:eastAsia="黑体" w:cs="黑体"/>
        </w:rPr>
        <w:fldChar w:fldCharType="separate"/>
      </w:r>
      <w:r>
        <w:rPr>
          <w:rFonts w:hint="eastAsia" w:ascii="黑体" w:hAnsi="黑体" w:eastAsia="黑体" w:cs="黑体"/>
        </w:rPr>
        <w:t>2. 招标文件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_Toc31181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_Toc11214 </w:instrText>
      </w:r>
      <w:r>
        <w:rPr>
          <w:rFonts w:hint="eastAsia" w:ascii="黑体" w:hAnsi="黑体" w:eastAsia="黑体" w:cs="黑体"/>
        </w:rPr>
        <w:fldChar w:fldCharType="separate"/>
      </w:r>
      <w:r>
        <w:rPr>
          <w:rFonts w:hint="eastAsia" w:ascii="黑体" w:hAnsi="黑体" w:eastAsia="黑体" w:cs="黑体"/>
        </w:rPr>
        <w:t>2.1 招标文件的组成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_Toc11214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_Toc8085 </w:instrText>
      </w:r>
      <w:r>
        <w:rPr>
          <w:rFonts w:hint="eastAsia" w:ascii="黑体" w:hAnsi="黑体" w:eastAsia="黑体" w:cs="黑体"/>
        </w:rPr>
        <w:fldChar w:fldCharType="separate"/>
      </w:r>
      <w:r>
        <w:rPr>
          <w:rFonts w:hint="eastAsia" w:ascii="黑体" w:hAnsi="黑体" w:eastAsia="黑体" w:cs="黑体"/>
        </w:rPr>
        <w:t>2.2 招标文件的澄清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_Toc8085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_Toc4817 </w:instrText>
      </w:r>
      <w:r>
        <w:rPr>
          <w:rFonts w:hint="eastAsia" w:ascii="黑体" w:hAnsi="黑体" w:eastAsia="黑体" w:cs="黑体"/>
        </w:rPr>
        <w:fldChar w:fldCharType="separate"/>
      </w:r>
      <w:r>
        <w:rPr>
          <w:rFonts w:hint="eastAsia" w:ascii="黑体" w:hAnsi="黑体" w:eastAsia="黑体" w:cs="黑体"/>
        </w:rPr>
        <w:t>2.3 招标文件的修改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_Toc4817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_Toc18840 </w:instrText>
      </w:r>
      <w:r>
        <w:rPr>
          <w:rFonts w:hint="eastAsia" w:ascii="黑体" w:hAnsi="黑体" w:eastAsia="黑体" w:cs="黑体"/>
        </w:rPr>
        <w:fldChar w:fldCharType="separate"/>
      </w:r>
      <w:r>
        <w:rPr>
          <w:rFonts w:hint="eastAsia" w:ascii="黑体" w:hAnsi="黑体" w:eastAsia="黑体" w:cs="黑体"/>
        </w:rPr>
        <w:t>2.4 招标文件的异议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_Toc18840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_Toc16190 </w:instrText>
      </w:r>
      <w:r>
        <w:rPr>
          <w:rFonts w:hint="eastAsia" w:ascii="黑体" w:hAnsi="黑体" w:eastAsia="黑体" w:cs="黑体"/>
        </w:rPr>
        <w:fldChar w:fldCharType="separate"/>
      </w:r>
      <w:r>
        <w:rPr>
          <w:rFonts w:hint="eastAsia" w:ascii="黑体" w:hAnsi="黑体" w:eastAsia="黑体" w:cs="黑体"/>
        </w:rPr>
        <w:t>3. 投标文件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_Toc16190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_Toc28168 </w:instrText>
      </w:r>
      <w:r>
        <w:rPr>
          <w:rFonts w:hint="eastAsia" w:ascii="黑体" w:hAnsi="黑体" w:eastAsia="黑体" w:cs="黑体"/>
        </w:rPr>
        <w:fldChar w:fldCharType="separate"/>
      </w:r>
      <w:r>
        <w:rPr>
          <w:rFonts w:hint="eastAsia" w:ascii="黑体" w:hAnsi="黑体" w:eastAsia="黑体" w:cs="黑体"/>
        </w:rPr>
        <w:t>3.1 投标文件的组成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_Toc28168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_Toc22884 </w:instrText>
      </w:r>
      <w:r>
        <w:rPr>
          <w:rFonts w:hint="eastAsia" w:ascii="黑体" w:hAnsi="黑体" w:eastAsia="黑体" w:cs="黑体"/>
        </w:rPr>
        <w:fldChar w:fldCharType="separate"/>
      </w:r>
      <w:r>
        <w:rPr>
          <w:rFonts w:hint="eastAsia" w:ascii="黑体" w:hAnsi="黑体" w:eastAsia="黑体" w:cs="黑体"/>
        </w:rPr>
        <w:t>3.2 投标报价</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_Toc22884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_Toc31573 </w:instrText>
      </w:r>
      <w:r>
        <w:rPr>
          <w:rFonts w:hint="eastAsia" w:ascii="黑体" w:hAnsi="黑体" w:eastAsia="黑体" w:cs="黑体"/>
        </w:rPr>
        <w:fldChar w:fldCharType="separate"/>
      </w:r>
      <w:r>
        <w:rPr>
          <w:rFonts w:hint="eastAsia" w:ascii="黑体" w:hAnsi="黑体" w:eastAsia="黑体" w:cs="黑体"/>
        </w:rPr>
        <w:t>3.3 投标有效期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_Toc31573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_Toc18405 </w:instrText>
      </w:r>
      <w:r>
        <w:rPr>
          <w:rFonts w:hint="eastAsia" w:ascii="黑体" w:hAnsi="黑体" w:eastAsia="黑体" w:cs="黑体"/>
        </w:rPr>
        <w:fldChar w:fldCharType="separate"/>
      </w:r>
      <w:r>
        <w:rPr>
          <w:rFonts w:hint="eastAsia" w:ascii="黑体" w:hAnsi="黑体" w:eastAsia="黑体" w:cs="黑体"/>
        </w:rPr>
        <w:t>3.4 投标保证金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_Toc18405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_Toc28608 </w:instrText>
      </w:r>
      <w:r>
        <w:rPr>
          <w:rFonts w:hint="eastAsia" w:ascii="黑体" w:hAnsi="黑体" w:eastAsia="黑体" w:cs="黑体"/>
        </w:rPr>
        <w:fldChar w:fldCharType="separate"/>
      </w:r>
      <w:r>
        <w:rPr>
          <w:rFonts w:hint="eastAsia" w:ascii="黑体" w:hAnsi="黑体" w:eastAsia="黑体" w:cs="黑体"/>
        </w:rPr>
        <w:t>3.5 资格审查资料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_Toc28608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_Toc8571 </w:instrText>
      </w:r>
      <w:r>
        <w:rPr>
          <w:rFonts w:hint="eastAsia" w:ascii="黑体" w:hAnsi="黑体" w:eastAsia="黑体" w:cs="黑体"/>
        </w:rPr>
        <w:fldChar w:fldCharType="separate"/>
      </w:r>
      <w:r>
        <w:rPr>
          <w:rFonts w:hint="eastAsia" w:ascii="黑体" w:hAnsi="黑体" w:eastAsia="黑体" w:cs="黑体"/>
        </w:rPr>
        <w:t>3.6 备选投标方案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_Toc8571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_Toc23189 </w:instrText>
      </w:r>
      <w:r>
        <w:rPr>
          <w:rFonts w:hint="eastAsia" w:ascii="黑体" w:hAnsi="黑体" w:eastAsia="黑体" w:cs="黑体"/>
        </w:rPr>
        <w:fldChar w:fldCharType="separate"/>
      </w:r>
      <w:r>
        <w:rPr>
          <w:rFonts w:hint="eastAsia" w:ascii="黑体" w:hAnsi="黑体" w:eastAsia="黑体" w:cs="黑体"/>
        </w:rPr>
        <w:t>3.7 投标文件的编制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_Toc23189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_Toc9689 </w:instrText>
      </w:r>
      <w:r>
        <w:rPr>
          <w:rFonts w:hint="eastAsia" w:ascii="黑体" w:hAnsi="黑体" w:eastAsia="黑体" w:cs="黑体"/>
        </w:rPr>
        <w:fldChar w:fldCharType="separate"/>
      </w:r>
      <w:r>
        <w:rPr>
          <w:rFonts w:hint="eastAsia" w:ascii="黑体" w:hAnsi="黑体" w:eastAsia="黑体" w:cs="黑体"/>
        </w:rPr>
        <w:t>4. 投标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_Toc9689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_Toc31747 </w:instrText>
      </w:r>
      <w:r>
        <w:rPr>
          <w:rFonts w:hint="eastAsia" w:ascii="黑体" w:hAnsi="黑体" w:eastAsia="黑体" w:cs="黑体"/>
        </w:rPr>
        <w:fldChar w:fldCharType="separate"/>
      </w:r>
      <w:r>
        <w:rPr>
          <w:rFonts w:hint="eastAsia" w:ascii="黑体" w:hAnsi="黑体" w:eastAsia="黑体" w:cs="黑体"/>
        </w:rPr>
        <w:t>4.1 投标文件的密封和标记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_Toc31747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_Toc16018 </w:instrText>
      </w:r>
      <w:r>
        <w:rPr>
          <w:rFonts w:hint="eastAsia" w:ascii="黑体" w:hAnsi="黑体" w:eastAsia="黑体" w:cs="黑体"/>
        </w:rPr>
        <w:fldChar w:fldCharType="separate"/>
      </w:r>
      <w:r>
        <w:rPr>
          <w:rFonts w:hint="eastAsia" w:ascii="黑体" w:hAnsi="黑体" w:eastAsia="黑体" w:cs="黑体"/>
        </w:rPr>
        <w:t>4.2 投标文件的递交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_Toc16018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_Toc8432 </w:instrText>
      </w:r>
      <w:r>
        <w:rPr>
          <w:rFonts w:hint="eastAsia" w:ascii="黑体" w:hAnsi="黑体" w:eastAsia="黑体" w:cs="黑体"/>
        </w:rPr>
        <w:fldChar w:fldCharType="separate"/>
      </w:r>
      <w:r>
        <w:rPr>
          <w:rFonts w:hint="eastAsia" w:ascii="黑体" w:hAnsi="黑体" w:eastAsia="黑体" w:cs="黑体"/>
        </w:rPr>
        <w:t>4.3 投标文件的修改与撤回</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_Toc8432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_Toc20520 </w:instrText>
      </w:r>
      <w:r>
        <w:rPr>
          <w:rFonts w:hint="eastAsia" w:ascii="黑体" w:hAnsi="黑体" w:eastAsia="黑体" w:cs="黑体"/>
        </w:rPr>
        <w:fldChar w:fldCharType="separate"/>
      </w:r>
      <w:r>
        <w:rPr>
          <w:rFonts w:hint="eastAsia" w:ascii="黑体" w:hAnsi="黑体" w:eastAsia="黑体" w:cs="黑体"/>
        </w:rPr>
        <w:t>5. 开标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_Toc20520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_Toc573 </w:instrText>
      </w:r>
      <w:r>
        <w:rPr>
          <w:rFonts w:hint="eastAsia" w:ascii="黑体" w:hAnsi="黑体" w:eastAsia="黑体" w:cs="黑体"/>
        </w:rPr>
        <w:fldChar w:fldCharType="separate"/>
      </w:r>
      <w:r>
        <w:rPr>
          <w:rFonts w:hint="eastAsia" w:ascii="黑体" w:hAnsi="黑体" w:eastAsia="黑体" w:cs="黑体"/>
        </w:rPr>
        <w:t>5.1 开标时间和地点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_Toc573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_Toc9397 </w:instrText>
      </w:r>
      <w:r>
        <w:rPr>
          <w:rFonts w:hint="eastAsia" w:ascii="黑体" w:hAnsi="黑体" w:eastAsia="黑体" w:cs="黑体"/>
        </w:rPr>
        <w:fldChar w:fldCharType="separate"/>
      </w:r>
      <w:r>
        <w:rPr>
          <w:rFonts w:hint="eastAsia" w:ascii="黑体" w:hAnsi="黑体" w:eastAsia="黑体" w:cs="黑体"/>
        </w:rPr>
        <w:t>5.2 开标程序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_Toc9397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_Toc27476 </w:instrText>
      </w:r>
      <w:r>
        <w:rPr>
          <w:rFonts w:hint="eastAsia" w:ascii="黑体" w:hAnsi="黑体" w:eastAsia="黑体" w:cs="黑体"/>
        </w:rPr>
        <w:fldChar w:fldCharType="separate"/>
      </w:r>
      <w:r>
        <w:rPr>
          <w:rFonts w:hint="eastAsia" w:ascii="黑体" w:hAnsi="黑体" w:eastAsia="黑体" w:cs="黑体"/>
        </w:rPr>
        <w:t>5.3 开标异议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_Toc27476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_Toc17619 </w:instrText>
      </w:r>
      <w:r>
        <w:rPr>
          <w:rFonts w:hint="eastAsia" w:ascii="黑体" w:hAnsi="黑体" w:eastAsia="黑体" w:cs="黑体"/>
        </w:rPr>
        <w:fldChar w:fldCharType="separate"/>
      </w:r>
      <w:r>
        <w:rPr>
          <w:rFonts w:hint="eastAsia" w:ascii="黑体" w:hAnsi="黑体" w:eastAsia="黑体" w:cs="黑体"/>
        </w:rPr>
        <w:t>6. 评标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_Toc17619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_Toc18932 </w:instrText>
      </w:r>
      <w:r>
        <w:rPr>
          <w:rFonts w:hint="eastAsia" w:ascii="黑体" w:hAnsi="黑体" w:eastAsia="黑体" w:cs="黑体"/>
        </w:rPr>
        <w:fldChar w:fldCharType="separate"/>
      </w:r>
      <w:r>
        <w:rPr>
          <w:rFonts w:hint="eastAsia" w:ascii="黑体" w:hAnsi="黑体" w:eastAsia="黑体" w:cs="黑体"/>
        </w:rPr>
        <w:t>6.1 评标委员会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_Toc18932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_Toc30881 </w:instrText>
      </w:r>
      <w:r>
        <w:rPr>
          <w:rFonts w:hint="eastAsia" w:ascii="黑体" w:hAnsi="黑体" w:eastAsia="黑体" w:cs="黑体"/>
        </w:rPr>
        <w:fldChar w:fldCharType="separate"/>
      </w:r>
      <w:r>
        <w:rPr>
          <w:rFonts w:hint="eastAsia" w:ascii="黑体" w:hAnsi="黑体" w:eastAsia="黑体" w:cs="黑体"/>
        </w:rPr>
        <w:t>6.2 评标原则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_Toc30881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_Toc6556 </w:instrText>
      </w:r>
      <w:r>
        <w:rPr>
          <w:rFonts w:hint="eastAsia" w:ascii="黑体" w:hAnsi="黑体" w:eastAsia="黑体" w:cs="黑体"/>
        </w:rPr>
        <w:fldChar w:fldCharType="separate"/>
      </w:r>
      <w:r>
        <w:rPr>
          <w:rFonts w:hint="eastAsia" w:ascii="黑体" w:hAnsi="黑体" w:eastAsia="黑体" w:cs="黑体"/>
        </w:rPr>
        <w:t>6.3 评标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_Toc6556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_Toc14874 </w:instrText>
      </w:r>
      <w:r>
        <w:rPr>
          <w:rFonts w:hint="eastAsia" w:ascii="黑体" w:hAnsi="黑体" w:eastAsia="黑体" w:cs="黑体"/>
        </w:rPr>
        <w:fldChar w:fldCharType="separate"/>
      </w:r>
      <w:r>
        <w:rPr>
          <w:rFonts w:hint="eastAsia" w:ascii="黑体" w:hAnsi="黑体" w:eastAsia="黑体" w:cs="黑体"/>
          <w:lang w:val="en-US" w:eastAsia="zh-CN"/>
        </w:rPr>
        <w:t>7.定标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_Toc14874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_Toc28414 </w:instrText>
      </w:r>
      <w:r>
        <w:rPr>
          <w:rFonts w:hint="eastAsia" w:ascii="黑体" w:hAnsi="黑体" w:eastAsia="黑体" w:cs="黑体"/>
        </w:rPr>
        <w:fldChar w:fldCharType="separate"/>
      </w:r>
      <w:r>
        <w:rPr>
          <w:rFonts w:hint="eastAsia" w:ascii="黑体" w:hAnsi="黑体" w:eastAsia="黑体" w:cs="黑体"/>
          <w:lang w:val="en-US" w:eastAsia="zh-CN"/>
        </w:rPr>
        <w:t>7.1 定标委员会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_Toc28414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_Toc27430 </w:instrText>
      </w:r>
      <w:r>
        <w:rPr>
          <w:rFonts w:hint="eastAsia" w:ascii="黑体" w:hAnsi="黑体" w:eastAsia="黑体" w:cs="黑体"/>
        </w:rPr>
        <w:fldChar w:fldCharType="separate"/>
      </w:r>
      <w:r>
        <w:rPr>
          <w:rFonts w:hint="eastAsia" w:ascii="黑体" w:hAnsi="黑体" w:eastAsia="黑体" w:cs="黑体"/>
          <w:lang w:val="en-US" w:eastAsia="zh-CN"/>
        </w:rPr>
        <w:t>7.2 定标原则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_Toc27430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_Toc19556 </w:instrText>
      </w:r>
      <w:r>
        <w:rPr>
          <w:rFonts w:hint="eastAsia" w:ascii="黑体" w:hAnsi="黑体" w:eastAsia="黑体" w:cs="黑体"/>
        </w:rPr>
        <w:fldChar w:fldCharType="separate"/>
      </w:r>
      <w:r>
        <w:rPr>
          <w:rFonts w:hint="eastAsia" w:ascii="黑体" w:hAnsi="黑体" w:eastAsia="黑体" w:cs="黑体"/>
          <w:lang w:val="en-US" w:eastAsia="zh-CN"/>
        </w:rPr>
        <w:t>7.3 定标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_Toc19556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_Toc29946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 合同授予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_Toc29946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_Toc28146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.1 中标候选人公示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_Toc28146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_Toc25551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.2 评标结果异议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_Toc25551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_Toc29980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.3 中标候选人履约能力审查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_Toc29980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_Toc26869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w:t>
      </w:r>
      <w:r>
        <w:rPr>
          <w:rFonts w:hint="eastAsia" w:ascii="黑体" w:hAnsi="黑体" w:eastAsia="黑体" w:cs="黑体"/>
          <w:lang w:val="en-US" w:eastAsia="zh-CN"/>
        </w:rPr>
        <w:t>4</w:t>
      </w:r>
      <w:r>
        <w:rPr>
          <w:rFonts w:hint="eastAsia" w:ascii="黑体" w:hAnsi="黑体" w:eastAsia="黑体" w:cs="黑体"/>
        </w:rPr>
        <w:t xml:space="preserve"> 中标通知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_Toc26869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_Toc21724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 xml:space="preserve"> 履约保证金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_Toc21724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_Toc16069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w:t>
      </w:r>
      <w:r>
        <w:rPr>
          <w:rFonts w:hint="eastAsia" w:ascii="黑体" w:hAnsi="黑体" w:eastAsia="黑体" w:cs="黑体"/>
          <w:lang w:val="en-US" w:eastAsia="zh-CN"/>
        </w:rPr>
        <w:t>6</w:t>
      </w:r>
      <w:r>
        <w:rPr>
          <w:rFonts w:hint="eastAsia" w:ascii="黑体" w:hAnsi="黑体" w:eastAsia="黑体" w:cs="黑体"/>
        </w:rPr>
        <w:t xml:space="preserve"> 签订合同</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_Toc16069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_Toc11356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.纪律和监督</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_Toc11356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_Toc1297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.1 对招标人的纪律要求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_Toc1297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_Toc27701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.2 对投标人的纪律要求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_Toc27701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_Toc8689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.3 对评标委员会成员的纪律要求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_Toc8689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_Toc17015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.4 对与评标活动有关的工作人员的纪律要求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_Toc17015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_Toc21027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.5 投诉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_Toc21027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_Toc27666 </w:instrText>
      </w:r>
      <w:r>
        <w:rPr>
          <w:rFonts w:hint="eastAsia" w:ascii="黑体" w:hAnsi="黑体" w:eastAsia="黑体" w:cs="黑体"/>
        </w:rPr>
        <w:fldChar w:fldCharType="separate"/>
      </w:r>
      <w:r>
        <w:rPr>
          <w:rFonts w:hint="eastAsia" w:ascii="黑体" w:hAnsi="黑体" w:eastAsia="黑体" w:cs="黑体"/>
          <w:lang w:val="en-US" w:eastAsia="zh-CN"/>
        </w:rPr>
        <w:t>10</w:t>
      </w:r>
      <w:r>
        <w:rPr>
          <w:rFonts w:hint="eastAsia" w:ascii="黑体" w:hAnsi="黑体" w:eastAsia="黑体" w:cs="黑体"/>
        </w:rPr>
        <w:t>. 是否采用电子招标投标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_Toc27666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_Toc11617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lang w:val="en-US" w:eastAsia="zh-CN"/>
        </w:rPr>
        <w:t>1</w:t>
      </w:r>
      <w:r>
        <w:rPr>
          <w:rFonts w:hint="eastAsia" w:ascii="黑体" w:hAnsi="黑体" w:eastAsia="黑体" w:cs="黑体"/>
        </w:rPr>
        <w:t>. 需要补充的其他内容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_Toc11617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_Toc15955 </w:instrText>
      </w:r>
      <w:r>
        <w:rPr>
          <w:rFonts w:hint="eastAsia" w:ascii="黑体" w:hAnsi="黑体" w:eastAsia="黑体" w:cs="黑体"/>
        </w:rPr>
        <w:fldChar w:fldCharType="separate"/>
      </w:r>
      <w:r>
        <w:rPr>
          <w:rFonts w:hint="eastAsia" w:ascii="黑体" w:hAnsi="黑体" w:eastAsia="黑体" w:cs="黑体"/>
        </w:rPr>
        <w:t>第三章评标办法（</w:t>
      </w:r>
      <w:r>
        <w:rPr>
          <w:rFonts w:hint="eastAsia" w:ascii="黑体" w:hAnsi="黑体" w:eastAsia="黑体" w:cs="黑体"/>
          <w:lang w:val="en-US" w:eastAsia="zh-CN"/>
        </w:rPr>
        <w:t>监理</w:t>
      </w:r>
      <w:r>
        <w:rPr>
          <w:rFonts w:hint="eastAsia" w:ascii="黑体" w:hAnsi="黑体" w:eastAsia="黑体" w:cs="黑体"/>
        </w:rPr>
        <w:t>综合评估法）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_Toc15955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_Toc17997 </w:instrText>
      </w:r>
      <w:r>
        <w:rPr>
          <w:rFonts w:hint="eastAsia" w:ascii="黑体" w:hAnsi="黑体" w:eastAsia="黑体" w:cs="黑体"/>
        </w:rPr>
        <w:fldChar w:fldCharType="separate"/>
      </w:r>
      <w:r>
        <w:rPr>
          <w:rFonts w:hint="eastAsia" w:ascii="黑体" w:hAnsi="黑体" w:eastAsia="黑体" w:cs="黑体"/>
        </w:rPr>
        <w:t>评标办法前附表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_Toc17997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_Toc4507 </w:instrText>
      </w:r>
      <w:r>
        <w:rPr>
          <w:rFonts w:hint="eastAsia" w:ascii="黑体" w:hAnsi="黑体" w:eastAsia="黑体" w:cs="黑体"/>
        </w:rPr>
        <w:fldChar w:fldCharType="separate"/>
      </w:r>
      <w:r>
        <w:rPr>
          <w:rFonts w:hint="eastAsia" w:ascii="黑体" w:hAnsi="黑体" w:eastAsia="黑体" w:cs="黑体"/>
        </w:rPr>
        <w:t>1. 评标方法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_Toc4507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_Toc2797 </w:instrText>
      </w:r>
      <w:r>
        <w:rPr>
          <w:rFonts w:hint="eastAsia" w:ascii="黑体" w:hAnsi="黑体" w:eastAsia="黑体" w:cs="黑体"/>
        </w:rPr>
        <w:fldChar w:fldCharType="separate"/>
      </w:r>
      <w:r>
        <w:rPr>
          <w:rFonts w:hint="eastAsia" w:ascii="黑体" w:hAnsi="黑体" w:eastAsia="黑体" w:cs="黑体"/>
        </w:rPr>
        <w:t>2. 评审标准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_Toc2797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_Toc15992 </w:instrText>
      </w:r>
      <w:r>
        <w:rPr>
          <w:rFonts w:hint="eastAsia" w:ascii="黑体" w:hAnsi="黑体" w:eastAsia="黑体" w:cs="黑体"/>
        </w:rPr>
        <w:fldChar w:fldCharType="separate"/>
      </w:r>
      <w:r>
        <w:rPr>
          <w:rFonts w:hint="eastAsia" w:ascii="黑体" w:hAnsi="黑体" w:eastAsia="黑体" w:cs="黑体"/>
        </w:rPr>
        <w:t>2.1 初步评审标准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_Toc15992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_Toc29126 </w:instrText>
      </w:r>
      <w:r>
        <w:rPr>
          <w:rFonts w:hint="eastAsia" w:ascii="黑体" w:hAnsi="黑体" w:eastAsia="黑体" w:cs="黑体"/>
        </w:rPr>
        <w:fldChar w:fldCharType="separate"/>
      </w:r>
      <w:r>
        <w:rPr>
          <w:rFonts w:hint="eastAsia" w:ascii="黑体" w:hAnsi="黑体" w:eastAsia="黑体" w:cs="黑体"/>
        </w:rPr>
        <w:t>2.2 分值构成与评分标准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_Toc29126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_Toc10431 </w:instrText>
      </w:r>
      <w:r>
        <w:rPr>
          <w:rFonts w:hint="eastAsia" w:ascii="黑体" w:hAnsi="黑体" w:eastAsia="黑体" w:cs="黑体"/>
        </w:rPr>
        <w:fldChar w:fldCharType="separate"/>
      </w:r>
      <w:r>
        <w:rPr>
          <w:rFonts w:hint="eastAsia" w:ascii="黑体" w:hAnsi="黑体" w:eastAsia="黑体" w:cs="黑体"/>
        </w:rPr>
        <w:t>3. 评标程序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_Toc10431 \h </w:instrText>
      </w:r>
      <w:r>
        <w:rPr>
          <w:rFonts w:hint="eastAsia" w:ascii="黑体" w:hAnsi="黑体" w:eastAsia="黑体" w:cs="黑体"/>
        </w:rPr>
        <w:fldChar w:fldCharType="separate"/>
      </w:r>
      <w:r>
        <w:rPr>
          <w:rFonts w:hint="eastAsia" w:ascii="黑体" w:hAnsi="黑体" w:eastAsia="黑体" w:cs="黑体"/>
        </w:rPr>
        <w:t>33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_Toc8474 </w:instrText>
      </w:r>
      <w:r>
        <w:rPr>
          <w:rFonts w:hint="eastAsia" w:ascii="黑体" w:hAnsi="黑体" w:eastAsia="黑体" w:cs="黑体"/>
        </w:rPr>
        <w:fldChar w:fldCharType="separate"/>
      </w:r>
      <w:r>
        <w:rPr>
          <w:rFonts w:hint="eastAsia" w:ascii="黑体" w:hAnsi="黑体" w:eastAsia="黑体" w:cs="黑体"/>
        </w:rPr>
        <w:t>3.1 初步评审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_Toc8474 \h </w:instrText>
      </w:r>
      <w:r>
        <w:rPr>
          <w:rFonts w:hint="eastAsia" w:ascii="黑体" w:hAnsi="黑体" w:eastAsia="黑体" w:cs="黑体"/>
        </w:rPr>
        <w:fldChar w:fldCharType="separate"/>
      </w:r>
      <w:r>
        <w:rPr>
          <w:rFonts w:hint="eastAsia" w:ascii="黑体" w:hAnsi="黑体" w:eastAsia="黑体" w:cs="黑体"/>
        </w:rPr>
        <w:t>33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_Toc28774 </w:instrText>
      </w:r>
      <w:r>
        <w:rPr>
          <w:rFonts w:hint="eastAsia" w:ascii="黑体" w:hAnsi="黑体" w:eastAsia="黑体" w:cs="黑体"/>
        </w:rPr>
        <w:fldChar w:fldCharType="separate"/>
      </w:r>
      <w:r>
        <w:rPr>
          <w:rFonts w:hint="eastAsia" w:ascii="黑体" w:hAnsi="黑体" w:eastAsia="黑体" w:cs="黑体"/>
        </w:rPr>
        <w:t>3.2 详细评审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_Toc28774 \h </w:instrText>
      </w:r>
      <w:r>
        <w:rPr>
          <w:rFonts w:hint="eastAsia" w:ascii="黑体" w:hAnsi="黑体" w:eastAsia="黑体" w:cs="黑体"/>
        </w:rPr>
        <w:fldChar w:fldCharType="separate"/>
      </w:r>
      <w:r>
        <w:rPr>
          <w:rFonts w:hint="eastAsia" w:ascii="黑体" w:hAnsi="黑体" w:eastAsia="黑体" w:cs="黑体"/>
        </w:rPr>
        <w:t>33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_Toc26841 </w:instrText>
      </w:r>
      <w:r>
        <w:rPr>
          <w:rFonts w:hint="eastAsia" w:ascii="黑体" w:hAnsi="黑体" w:eastAsia="黑体" w:cs="黑体"/>
        </w:rPr>
        <w:fldChar w:fldCharType="separate"/>
      </w:r>
      <w:r>
        <w:rPr>
          <w:rFonts w:hint="eastAsia" w:ascii="黑体" w:hAnsi="黑体" w:eastAsia="黑体" w:cs="黑体"/>
        </w:rPr>
        <w:t>3.3 投标文件的澄清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_Toc26841 \h </w:instrText>
      </w:r>
      <w:r>
        <w:rPr>
          <w:rFonts w:hint="eastAsia" w:ascii="黑体" w:hAnsi="黑体" w:eastAsia="黑体" w:cs="黑体"/>
        </w:rPr>
        <w:fldChar w:fldCharType="separate"/>
      </w:r>
      <w:r>
        <w:rPr>
          <w:rFonts w:hint="eastAsia" w:ascii="黑体" w:hAnsi="黑体" w:eastAsia="黑体" w:cs="黑体"/>
        </w:rPr>
        <w:t>34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_Toc24102 </w:instrText>
      </w:r>
      <w:r>
        <w:rPr>
          <w:rFonts w:hint="eastAsia" w:ascii="黑体" w:hAnsi="黑体" w:eastAsia="黑体" w:cs="黑体"/>
        </w:rPr>
        <w:fldChar w:fldCharType="separate"/>
      </w:r>
      <w:r>
        <w:rPr>
          <w:rFonts w:hint="eastAsia" w:ascii="黑体" w:hAnsi="黑体" w:eastAsia="黑体" w:cs="黑体"/>
        </w:rPr>
        <w:t>3.4 评标结果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_Toc24102 \h </w:instrText>
      </w:r>
      <w:r>
        <w:rPr>
          <w:rFonts w:hint="eastAsia" w:ascii="黑体" w:hAnsi="黑体" w:eastAsia="黑体" w:cs="黑体"/>
        </w:rPr>
        <w:fldChar w:fldCharType="separate"/>
      </w:r>
      <w:r>
        <w:rPr>
          <w:rFonts w:hint="eastAsia" w:ascii="黑体" w:hAnsi="黑体" w:eastAsia="黑体" w:cs="黑体"/>
        </w:rPr>
        <w:t>34</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_Toc27966 </w:instrText>
      </w:r>
      <w:r>
        <w:rPr>
          <w:rFonts w:hint="eastAsia" w:ascii="黑体" w:hAnsi="黑体" w:eastAsia="黑体" w:cs="黑体"/>
        </w:rPr>
        <w:fldChar w:fldCharType="separate"/>
      </w:r>
      <w:r>
        <w:rPr>
          <w:rFonts w:hint="eastAsia" w:ascii="黑体" w:hAnsi="黑体" w:eastAsia="黑体" w:cs="黑体"/>
        </w:rPr>
        <w:t xml:space="preserve">第四章  </w:t>
      </w:r>
      <w:r>
        <w:rPr>
          <w:rFonts w:hint="eastAsia" w:ascii="黑体" w:hAnsi="黑体" w:eastAsia="黑体" w:cs="黑体"/>
          <w:lang w:val="en-US" w:eastAsia="zh-CN"/>
        </w:rPr>
        <w:t>定标办法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_Toc27966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_Toc4652 </w:instrText>
      </w:r>
      <w:r>
        <w:rPr>
          <w:rFonts w:hint="eastAsia" w:ascii="黑体" w:hAnsi="黑体" w:eastAsia="黑体" w:cs="黑体"/>
        </w:rPr>
        <w:fldChar w:fldCharType="separate"/>
      </w:r>
      <w:r>
        <w:rPr>
          <w:rFonts w:hint="eastAsia" w:ascii="黑体" w:hAnsi="黑体" w:eastAsia="黑体" w:cs="黑体"/>
          <w:szCs w:val="24"/>
          <w:lang w:val="en-US" w:eastAsia="zh-CN"/>
        </w:rPr>
        <w:t>定</w:t>
      </w:r>
      <w:r>
        <w:rPr>
          <w:rFonts w:hint="eastAsia" w:ascii="黑体" w:hAnsi="黑体" w:eastAsia="黑体" w:cs="黑体"/>
          <w:szCs w:val="24"/>
        </w:rPr>
        <w:t>标办法前附表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_Toc4652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_Toc3889 </w:instrText>
      </w:r>
      <w:r>
        <w:rPr>
          <w:rFonts w:hint="eastAsia" w:ascii="黑体" w:hAnsi="黑体" w:eastAsia="黑体" w:cs="黑体"/>
        </w:rPr>
        <w:fldChar w:fldCharType="separate"/>
      </w:r>
      <w:r>
        <w:rPr>
          <w:rFonts w:hint="eastAsia" w:ascii="黑体" w:hAnsi="黑体" w:eastAsia="黑体" w:cs="黑体"/>
          <w:bCs w:val="0"/>
          <w:kern w:val="2"/>
          <w:szCs w:val="24"/>
          <w:lang w:val="en-US" w:eastAsia="zh-CN" w:bidi="ar-SA"/>
        </w:rPr>
        <w:t>1.定标方法</w:t>
      </w:r>
      <w:r>
        <w:rPr>
          <w:rFonts w:hint="eastAsia" w:ascii="黑体" w:hAnsi="黑体" w:eastAsia="黑体" w:cs="黑体"/>
          <w:szCs w:val="24"/>
        </w:rPr>
        <w:t>(票决定标法)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_Toc3889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_Toc28007 </w:instrText>
      </w:r>
      <w:r>
        <w:rPr>
          <w:rFonts w:hint="eastAsia" w:ascii="黑体" w:hAnsi="黑体" w:eastAsia="黑体" w:cs="黑体"/>
        </w:rPr>
        <w:fldChar w:fldCharType="separate"/>
      </w:r>
      <w:r>
        <w:rPr>
          <w:rFonts w:hint="eastAsia" w:ascii="黑体" w:hAnsi="黑体" w:eastAsia="黑体" w:cs="黑体"/>
          <w:szCs w:val="24"/>
        </w:rPr>
        <w:t xml:space="preserve">1. </w:t>
      </w:r>
      <w:r>
        <w:rPr>
          <w:rFonts w:hint="eastAsia" w:ascii="黑体" w:hAnsi="黑体" w:eastAsia="黑体" w:cs="黑体"/>
          <w:bCs w:val="0"/>
          <w:kern w:val="2"/>
          <w:szCs w:val="24"/>
          <w:lang w:val="en-US" w:eastAsia="zh-CN" w:bidi="ar-SA"/>
        </w:rPr>
        <w:t>定标方法</w:t>
      </w:r>
      <w:r>
        <w:rPr>
          <w:rFonts w:hint="eastAsia" w:ascii="黑体" w:hAnsi="黑体" w:eastAsia="黑体" w:cs="黑体"/>
          <w:szCs w:val="24"/>
        </w:rPr>
        <w:t>(</w:t>
      </w:r>
      <w:r>
        <w:rPr>
          <w:rFonts w:hint="eastAsia" w:ascii="黑体" w:hAnsi="黑体" w:eastAsia="黑体" w:cs="黑体"/>
          <w:szCs w:val="24"/>
          <w:lang w:val="en-US" w:eastAsia="zh-CN"/>
        </w:rPr>
        <w:t>投票计分</w:t>
      </w:r>
      <w:r>
        <w:rPr>
          <w:rFonts w:hint="eastAsia" w:ascii="黑体" w:hAnsi="黑体" w:eastAsia="黑体" w:cs="黑体"/>
          <w:szCs w:val="24"/>
        </w:rPr>
        <w:t>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_Toc28007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_Toc18661 </w:instrText>
      </w:r>
      <w:r>
        <w:rPr>
          <w:rFonts w:hint="eastAsia" w:ascii="黑体" w:hAnsi="黑体" w:eastAsia="黑体" w:cs="黑体"/>
        </w:rPr>
        <w:fldChar w:fldCharType="separate"/>
      </w:r>
      <w:r>
        <w:rPr>
          <w:rFonts w:hint="eastAsia" w:ascii="黑体" w:hAnsi="黑体" w:eastAsia="黑体" w:cs="黑体"/>
          <w:szCs w:val="24"/>
        </w:rPr>
        <w:t xml:space="preserve">1. </w:t>
      </w:r>
      <w:r>
        <w:rPr>
          <w:rFonts w:hint="eastAsia" w:ascii="黑体" w:hAnsi="黑体" w:eastAsia="黑体" w:cs="黑体"/>
          <w:bCs w:val="0"/>
          <w:kern w:val="2"/>
          <w:szCs w:val="24"/>
          <w:lang w:val="en-US" w:eastAsia="zh-CN" w:bidi="ar-SA"/>
        </w:rPr>
        <w:t>定标方法</w:t>
      </w:r>
      <w:r>
        <w:rPr>
          <w:rFonts w:hint="eastAsia" w:ascii="黑体" w:hAnsi="黑体" w:eastAsia="黑体" w:cs="黑体"/>
          <w:szCs w:val="24"/>
        </w:rPr>
        <w:t>(</w:t>
      </w:r>
      <w:r>
        <w:rPr>
          <w:rFonts w:hint="eastAsia" w:ascii="黑体" w:hAnsi="黑体" w:eastAsia="黑体" w:cs="黑体"/>
          <w:szCs w:val="24"/>
          <w:lang w:val="en-US" w:eastAsia="zh-CN"/>
        </w:rPr>
        <w:t>集体议事</w:t>
      </w:r>
      <w:r>
        <w:rPr>
          <w:rFonts w:hint="eastAsia" w:ascii="黑体" w:hAnsi="黑体" w:eastAsia="黑体" w:cs="黑体"/>
          <w:szCs w:val="24"/>
        </w:rPr>
        <w:t>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_Toc18661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_Toc12854 </w:instrText>
      </w:r>
      <w:r>
        <w:rPr>
          <w:rFonts w:hint="eastAsia" w:ascii="黑体" w:hAnsi="黑体" w:eastAsia="黑体" w:cs="黑体"/>
        </w:rPr>
        <w:fldChar w:fldCharType="separate"/>
      </w:r>
      <w:r>
        <w:rPr>
          <w:rFonts w:hint="eastAsia" w:ascii="黑体" w:hAnsi="黑体" w:eastAsia="黑体" w:cs="黑体"/>
          <w:bCs w:val="0"/>
          <w:kern w:val="2"/>
          <w:szCs w:val="24"/>
          <w:lang w:val="en-US" w:eastAsia="zh-CN" w:bidi="ar-SA"/>
        </w:rPr>
        <w:t>1.定标方法</w:t>
      </w:r>
      <w:r>
        <w:rPr>
          <w:rFonts w:hint="eastAsia" w:ascii="黑体" w:hAnsi="黑体" w:eastAsia="黑体" w:cs="黑体"/>
          <w:szCs w:val="24"/>
        </w:rPr>
        <w:t>(</w:t>
      </w:r>
      <w:r>
        <w:rPr>
          <w:rFonts w:hint="eastAsia" w:ascii="黑体" w:hAnsi="黑体" w:eastAsia="黑体" w:cs="黑体"/>
          <w:szCs w:val="24"/>
          <w:lang w:val="en-US" w:eastAsia="zh-CN"/>
        </w:rPr>
        <w:t>招标人确定的其他方</w:t>
      </w:r>
      <w:r>
        <w:rPr>
          <w:rFonts w:hint="eastAsia" w:ascii="黑体" w:hAnsi="黑体" w:eastAsia="黑体" w:cs="黑体"/>
          <w:szCs w:val="24"/>
        </w:rPr>
        <w:t>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_Toc12854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_Toc10323 </w:instrText>
      </w:r>
      <w:r>
        <w:rPr>
          <w:rFonts w:hint="eastAsia" w:ascii="黑体" w:hAnsi="黑体" w:eastAsia="黑体" w:cs="黑体"/>
        </w:rPr>
        <w:fldChar w:fldCharType="separate"/>
      </w:r>
      <w:r>
        <w:rPr>
          <w:rFonts w:hint="eastAsia" w:ascii="黑体" w:hAnsi="黑体" w:eastAsia="黑体" w:cs="黑体"/>
          <w:bCs w:val="0"/>
          <w:kern w:val="2"/>
          <w:szCs w:val="24"/>
          <w:lang w:val="en-US" w:eastAsia="zh-CN" w:bidi="ar-SA"/>
        </w:rPr>
        <w:t>2.定标标准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_Toc10323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_Toc32636 </w:instrText>
      </w:r>
      <w:r>
        <w:rPr>
          <w:rFonts w:hint="eastAsia" w:ascii="黑体" w:hAnsi="黑体" w:eastAsia="黑体" w:cs="黑体"/>
        </w:rPr>
        <w:fldChar w:fldCharType="separate"/>
      </w:r>
      <w:r>
        <w:rPr>
          <w:rFonts w:hint="eastAsia" w:ascii="黑体" w:hAnsi="黑体" w:eastAsia="黑体" w:cs="黑体"/>
          <w:bCs w:val="0"/>
          <w:kern w:val="2"/>
          <w:szCs w:val="24"/>
          <w:lang w:val="en-US" w:eastAsia="zh-CN" w:bidi="ar-SA"/>
        </w:rPr>
        <w:t>3.定标程序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_Toc32636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_Toc7796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val="en-US" w:eastAsia="zh-CN"/>
        </w:rPr>
        <w:t>五</w:t>
      </w:r>
      <w:r>
        <w:rPr>
          <w:rFonts w:hint="eastAsia" w:ascii="黑体" w:hAnsi="黑体" w:eastAsia="黑体" w:cs="黑体"/>
        </w:rPr>
        <w:t>章合同条款及格式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_Toc7796 \h </w:instrText>
      </w:r>
      <w:r>
        <w:rPr>
          <w:rFonts w:hint="eastAsia" w:ascii="黑体" w:hAnsi="黑体" w:eastAsia="黑体" w:cs="黑体"/>
        </w:rPr>
        <w:fldChar w:fldCharType="separate"/>
      </w:r>
      <w:r>
        <w:rPr>
          <w:rFonts w:hint="eastAsia" w:ascii="黑体" w:hAnsi="黑体" w:eastAsia="黑体" w:cs="黑体"/>
        </w:rPr>
        <w:t>38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_Toc8551 </w:instrText>
      </w:r>
      <w:r>
        <w:rPr>
          <w:rFonts w:hint="eastAsia" w:ascii="黑体" w:hAnsi="黑体" w:eastAsia="黑体" w:cs="黑体"/>
        </w:rPr>
        <w:fldChar w:fldCharType="separate"/>
      </w:r>
      <w:r>
        <w:rPr>
          <w:rFonts w:hint="eastAsia" w:ascii="黑体" w:hAnsi="黑体" w:eastAsia="黑体" w:cs="黑体"/>
        </w:rPr>
        <w:t>第一节通用合同条款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_Toc8551 \h </w:instrText>
      </w:r>
      <w:r>
        <w:rPr>
          <w:rFonts w:hint="eastAsia" w:ascii="黑体" w:hAnsi="黑体" w:eastAsia="黑体" w:cs="黑体"/>
        </w:rPr>
        <w:fldChar w:fldCharType="separate"/>
      </w:r>
      <w:r>
        <w:rPr>
          <w:rFonts w:hint="eastAsia" w:ascii="黑体" w:hAnsi="黑体" w:eastAsia="黑体" w:cs="黑体"/>
        </w:rPr>
        <w:t>39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_Toc20844 </w:instrText>
      </w:r>
      <w:r>
        <w:rPr>
          <w:rFonts w:hint="eastAsia" w:ascii="黑体" w:hAnsi="黑体" w:eastAsia="黑体" w:cs="黑体"/>
        </w:rPr>
        <w:fldChar w:fldCharType="separate"/>
      </w:r>
      <w:r>
        <w:rPr>
          <w:rFonts w:hint="eastAsia" w:ascii="黑体" w:hAnsi="黑体" w:eastAsia="黑体" w:cs="黑体"/>
        </w:rPr>
        <w:t>1. 一般约定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_Toc20844 \h </w:instrText>
      </w:r>
      <w:r>
        <w:rPr>
          <w:rFonts w:hint="eastAsia" w:ascii="黑体" w:hAnsi="黑体" w:eastAsia="黑体" w:cs="黑体"/>
        </w:rPr>
        <w:fldChar w:fldCharType="separate"/>
      </w:r>
      <w:r>
        <w:rPr>
          <w:rFonts w:hint="eastAsia" w:ascii="黑体" w:hAnsi="黑体" w:eastAsia="黑体" w:cs="黑体"/>
        </w:rPr>
        <w:t>39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_Toc19827 </w:instrText>
      </w:r>
      <w:r>
        <w:rPr>
          <w:rFonts w:hint="eastAsia" w:ascii="黑体" w:hAnsi="黑体" w:eastAsia="黑体" w:cs="黑体"/>
        </w:rPr>
        <w:fldChar w:fldCharType="separate"/>
      </w:r>
      <w:r>
        <w:rPr>
          <w:rFonts w:hint="eastAsia" w:ascii="黑体" w:hAnsi="黑体" w:eastAsia="黑体" w:cs="黑体"/>
        </w:rPr>
        <w:t>1.1 词语定义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_Toc19827 \h </w:instrText>
      </w:r>
      <w:r>
        <w:rPr>
          <w:rFonts w:hint="eastAsia" w:ascii="黑体" w:hAnsi="黑体" w:eastAsia="黑体" w:cs="黑体"/>
        </w:rPr>
        <w:fldChar w:fldCharType="separate"/>
      </w:r>
      <w:r>
        <w:rPr>
          <w:rFonts w:hint="eastAsia" w:ascii="黑体" w:hAnsi="黑体" w:eastAsia="黑体" w:cs="黑体"/>
        </w:rPr>
        <w:t>39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_Toc20748 </w:instrText>
      </w:r>
      <w:r>
        <w:rPr>
          <w:rFonts w:hint="eastAsia" w:ascii="黑体" w:hAnsi="黑体" w:eastAsia="黑体" w:cs="黑体"/>
        </w:rPr>
        <w:fldChar w:fldCharType="separate"/>
      </w:r>
      <w:r>
        <w:rPr>
          <w:rFonts w:hint="eastAsia" w:ascii="黑体" w:hAnsi="黑体" w:eastAsia="黑体" w:cs="黑体"/>
        </w:rPr>
        <w:t>1.2 语言文字</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_Toc20748 \h </w:instrText>
      </w:r>
      <w:r>
        <w:rPr>
          <w:rFonts w:hint="eastAsia" w:ascii="黑体" w:hAnsi="黑体" w:eastAsia="黑体" w:cs="黑体"/>
        </w:rPr>
        <w:fldChar w:fldCharType="separate"/>
      </w:r>
      <w:r>
        <w:rPr>
          <w:rFonts w:hint="eastAsia" w:ascii="黑体" w:hAnsi="黑体" w:eastAsia="黑体" w:cs="黑体"/>
        </w:rPr>
        <w:t>40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_Toc19304 </w:instrText>
      </w:r>
      <w:r>
        <w:rPr>
          <w:rFonts w:hint="eastAsia" w:ascii="黑体" w:hAnsi="黑体" w:eastAsia="黑体" w:cs="黑体"/>
        </w:rPr>
        <w:fldChar w:fldCharType="separate"/>
      </w:r>
      <w:r>
        <w:rPr>
          <w:rFonts w:hint="eastAsia" w:ascii="黑体" w:hAnsi="黑体" w:eastAsia="黑体" w:cs="黑体"/>
        </w:rPr>
        <w:t>1.3 适用法律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_Toc19304 \h </w:instrText>
      </w:r>
      <w:r>
        <w:rPr>
          <w:rFonts w:hint="eastAsia" w:ascii="黑体" w:hAnsi="黑体" w:eastAsia="黑体" w:cs="黑体"/>
        </w:rPr>
        <w:fldChar w:fldCharType="separate"/>
      </w:r>
      <w:r>
        <w:rPr>
          <w:rFonts w:hint="eastAsia" w:ascii="黑体" w:hAnsi="黑体" w:eastAsia="黑体" w:cs="黑体"/>
        </w:rPr>
        <w:t>40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_Toc18509 </w:instrText>
      </w:r>
      <w:r>
        <w:rPr>
          <w:rFonts w:hint="eastAsia" w:ascii="黑体" w:hAnsi="黑体" w:eastAsia="黑体" w:cs="黑体"/>
        </w:rPr>
        <w:fldChar w:fldCharType="separate"/>
      </w:r>
      <w:r>
        <w:rPr>
          <w:rFonts w:hint="eastAsia" w:ascii="黑体" w:hAnsi="黑体" w:eastAsia="黑体" w:cs="黑体"/>
        </w:rPr>
        <w:t>1.4 合同文件的优先顺序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_Toc18509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_Toc23397 </w:instrText>
      </w:r>
      <w:r>
        <w:rPr>
          <w:rFonts w:hint="eastAsia" w:ascii="黑体" w:hAnsi="黑体" w:eastAsia="黑体" w:cs="黑体"/>
        </w:rPr>
        <w:fldChar w:fldCharType="separate"/>
      </w:r>
      <w:r>
        <w:rPr>
          <w:rFonts w:hint="eastAsia" w:ascii="黑体" w:hAnsi="黑体" w:eastAsia="黑体" w:cs="黑体"/>
        </w:rPr>
        <w:t>1.5 合同协议书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_Toc23397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_Toc23473 </w:instrText>
      </w:r>
      <w:r>
        <w:rPr>
          <w:rFonts w:hint="eastAsia" w:ascii="黑体" w:hAnsi="黑体" w:eastAsia="黑体" w:cs="黑体"/>
        </w:rPr>
        <w:fldChar w:fldCharType="separate"/>
      </w:r>
      <w:r>
        <w:rPr>
          <w:rFonts w:hint="eastAsia" w:ascii="黑体" w:hAnsi="黑体" w:eastAsia="黑体" w:cs="黑体"/>
        </w:rPr>
        <w:t>1.6 文件的提供和照管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_Toc23473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_Toc26943 </w:instrText>
      </w:r>
      <w:r>
        <w:rPr>
          <w:rFonts w:hint="eastAsia" w:ascii="黑体" w:hAnsi="黑体" w:eastAsia="黑体" w:cs="黑体"/>
        </w:rPr>
        <w:fldChar w:fldCharType="separate"/>
      </w:r>
      <w:r>
        <w:rPr>
          <w:rFonts w:hint="eastAsia" w:ascii="黑体" w:hAnsi="黑体" w:eastAsia="黑体" w:cs="黑体"/>
        </w:rPr>
        <w:t>1.7 联络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_Toc26943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_Toc9140 </w:instrText>
      </w:r>
      <w:r>
        <w:rPr>
          <w:rFonts w:hint="eastAsia" w:ascii="黑体" w:hAnsi="黑体" w:eastAsia="黑体" w:cs="黑体"/>
        </w:rPr>
        <w:fldChar w:fldCharType="separate"/>
      </w:r>
      <w:r>
        <w:rPr>
          <w:rFonts w:hint="eastAsia" w:ascii="黑体" w:hAnsi="黑体" w:eastAsia="黑体" w:cs="黑体"/>
        </w:rPr>
        <w:t>1.8 转让</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_Toc9140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_Toc24492 </w:instrText>
      </w:r>
      <w:r>
        <w:rPr>
          <w:rFonts w:hint="eastAsia" w:ascii="黑体" w:hAnsi="黑体" w:eastAsia="黑体" w:cs="黑体"/>
        </w:rPr>
        <w:fldChar w:fldCharType="separate"/>
      </w:r>
      <w:r>
        <w:rPr>
          <w:rFonts w:hint="eastAsia" w:ascii="黑体" w:hAnsi="黑体" w:eastAsia="黑体" w:cs="黑体"/>
        </w:rPr>
        <w:t>1.9 严禁贿赂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_Toc24492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_Toc27564 </w:instrText>
      </w:r>
      <w:r>
        <w:rPr>
          <w:rFonts w:hint="eastAsia" w:ascii="黑体" w:hAnsi="黑体" w:eastAsia="黑体" w:cs="黑体"/>
        </w:rPr>
        <w:fldChar w:fldCharType="separate"/>
      </w:r>
      <w:r>
        <w:rPr>
          <w:rFonts w:hint="eastAsia" w:ascii="黑体" w:hAnsi="黑体" w:eastAsia="黑体" w:cs="黑体"/>
        </w:rPr>
        <w:t>1.10 知识产权</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_Toc27564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_Toc16931 </w:instrText>
      </w:r>
      <w:r>
        <w:rPr>
          <w:rFonts w:hint="eastAsia" w:ascii="黑体" w:hAnsi="黑体" w:eastAsia="黑体" w:cs="黑体"/>
        </w:rPr>
        <w:fldChar w:fldCharType="separate"/>
      </w:r>
      <w:r>
        <w:rPr>
          <w:rFonts w:hint="eastAsia" w:ascii="黑体" w:hAnsi="黑体" w:eastAsia="黑体" w:cs="黑体"/>
        </w:rPr>
        <w:t>1.11 文件及信息的保密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_Toc16931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_Toc24781 </w:instrText>
      </w:r>
      <w:r>
        <w:rPr>
          <w:rFonts w:hint="eastAsia" w:ascii="黑体" w:hAnsi="黑体" w:eastAsia="黑体" w:cs="黑体"/>
        </w:rPr>
        <w:fldChar w:fldCharType="separate"/>
      </w:r>
      <w:r>
        <w:rPr>
          <w:rFonts w:hint="eastAsia" w:ascii="黑体" w:hAnsi="黑体" w:eastAsia="黑体" w:cs="黑体"/>
        </w:rPr>
        <w:t>1.12 委托人要求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_Toc24781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_Toc10833 </w:instrText>
      </w:r>
      <w:r>
        <w:rPr>
          <w:rFonts w:hint="eastAsia" w:ascii="黑体" w:hAnsi="黑体" w:eastAsia="黑体" w:cs="黑体"/>
        </w:rPr>
        <w:fldChar w:fldCharType="separate"/>
      </w:r>
      <w:r>
        <w:rPr>
          <w:rFonts w:hint="eastAsia" w:ascii="黑体" w:hAnsi="黑体" w:eastAsia="黑体" w:cs="黑体"/>
        </w:rPr>
        <w:t>2. 委托人义务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_Toc10833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_Toc31277 </w:instrText>
      </w:r>
      <w:r>
        <w:rPr>
          <w:rFonts w:hint="eastAsia" w:ascii="黑体" w:hAnsi="黑体" w:eastAsia="黑体" w:cs="黑体"/>
        </w:rPr>
        <w:fldChar w:fldCharType="separate"/>
      </w:r>
      <w:r>
        <w:rPr>
          <w:rFonts w:hint="eastAsia" w:ascii="黑体" w:hAnsi="黑体" w:eastAsia="黑体" w:cs="黑体"/>
        </w:rPr>
        <w:t>2.1 遵守法律</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_Toc31277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_Toc28302 </w:instrText>
      </w:r>
      <w:r>
        <w:rPr>
          <w:rFonts w:hint="eastAsia" w:ascii="黑体" w:hAnsi="黑体" w:eastAsia="黑体" w:cs="黑体"/>
        </w:rPr>
        <w:fldChar w:fldCharType="separate"/>
      </w:r>
      <w:r>
        <w:rPr>
          <w:rFonts w:hint="eastAsia" w:ascii="黑体" w:hAnsi="黑体" w:eastAsia="黑体" w:cs="黑体"/>
        </w:rPr>
        <w:t>2.2 发出开始监理通知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_Toc28302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_Toc27128 </w:instrText>
      </w:r>
      <w:r>
        <w:rPr>
          <w:rFonts w:hint="eastAsia" w:ascii="黑体" w:hAnsi="黑体" w:eastAsia="黑体" w:cs="黑体"/>
        </w:rPr>
        <w:fldChar w:fldCharType="separate"/>
      </w:r>
      <w:r>
        <w:rPr>
          <w:rFonts w:hint="eastAsia" w:ascii="黑体" w:hAnsi="黑体" w:eastAsia="黑体" w:cs="黑体"/>
        </w:rPr>
        <w:t>2.3 办理证件和批件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_Toc27128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_Toc8388 </w:instrText>
      </w:r>
      <w:r>
        <w:rPr>
          <w:rFonts w:hint="eastAsia" w:ascii="黑体" w:hAnsi="黑体" w:eastAsia="黑体" w:cs="黑体"/>
        </w:rPr>
        <w:fldChar w:fldCharType="separate"/>
      </w:r>
      <w:r>
        <w:rPr>
          <w:rFonts w:hint="eastAsia" w:ascii="黑体" w:hAnsi="黑体" w:eastAsia="黑体" w:cs="黑体"/>
        </w:rPr>
        <w:t>2.4 支付合同价款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_Toc8388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_Toc10549 </w:instrText>
      </w:r>
      <w:r>
        <w:rPr>
          <w:rFonts w:hint="eastAsia" w:ascii="黑体" w:hAnsi="黑体" w:eastAsia="黑体" w:cs="黑体"/>
        </w:rPr>
        <w:fldChar w:fldCharType="separate"/>
      </w:r>
      <w:r>
        <w:rPr>
          <w:rFonts w:hint="eastAsia" w:ascii="黑体" w:hAnsi="黑体" w:eastAsia="黑体" w:cs="黑体"/>
        </w:rPr>
        <w:t>2.5 提供监理资料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_Toc10549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_Toc20885 </w:instrText>
      </w:r>
      <w:r>
        <w:rPr>
          <w:rFonts w:hint="eastAsia" w:ascii="黑体" w:hAnsi="黑体" w:eastAsia="黑体" w:cs="黑体"/>
        </w:rPr>
        <w:fldChar w:fldCharType="separate"/>
      </w:r>
      <w:r>
        <w:rPr>
          <w:rFonts w:hint="eastAsia" w:ascii="黑体" w:hAnsi="黑体" w:eastAsia="黑体" w:cs="黑体"/>
        </w:rPr>
        <w:t>2.6 其他义务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_Toc20885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_Toc31437 </w:instrText>
      </w:r>
      <w:r>
        <w:rPr>
          <w:rFonts w:hint="eastAsia" w:ascii="黑体" w:hAnsi="黑体" w:eastAsia="黑体" w:cs="黑体"/>
        </w:rPr>
        <w:fldChar w:fldCharType="separate"/>
      </w:r>
      <w:r>
        <w:rPr>
          <w:rFonts w:hint="eastAsia" w:ascii="黑体" w:hAnsi="黑体" w:eastAsia="黑体" w:cs="黑体"/>
        </w:rPr>
        <w:t>3. 委托人管理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_Toc31437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_Toc8656 </w:instrText>
      </w:r>
      <w:r>
        <w:rPr>
          <w:rFonts w:hint="eastAsia" w:ascii="黑体" w:hAnsi="黑体" w:eastAsia="黑体" w:cs="黑体"/>
        </w:rPr>
        <w:fldChar w:fldCharType="separate"/>
      </w:r>
      <w:r>
        <w:rPr>
          <w:rFonts w:hint="eastAsia" w:ascii="黑体" w:hAnsi="黑体" w:eastAsia="黑体" w:cs="黑体"/>
        </w:rPr>
        <w:t>3.1 委托人代表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_Toc8656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_Toc26547 </w:instrText>
      </w:r>
      <w:r>
        <w:rPr>
          <w:rFonts w:hint="eastAsia" w:ascii="黑体" w:hAnsi="黑体" w:eastAsia="黑体" w:cs="黑体"/>
        </w:rPr>
        <w:fldChar w:fldCharType="separate"/>
      </w:r>
      <w:r>
        <w:rPr>
          <w:rFonts w:hint="eastAsia" w:ascii="黑体" w:hAnsi="黑体" w:eastAsia="黑体" w:cs="黑体"/>
        </w:rPr>
        <w:t>3.2 委托人的指示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_Toc26547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_Toc15477 </w:instrText>
      </w:r>
      <w:r>
        <w:rPr>
          <w:rFonts w:hint="eastAsia" w:ascii="黑体" w:hAnsi="黑体" w:eastAsia="黑体" w:cs="黑体"/>
        </w:rPr>
        <w:fldChar w:fldCharType="separate"/>
      </w:r>
      <w:r>
        <w:rPr>
          <w:rFonts w:hint="eastAsia" w:ascii="黑体" w:hAnsi="黑体" w:eastAsia="黑体" w:cs="黑体"/>
        </w:rPr>
        <w:t>3.3 决定或答复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_Toc15477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_Toc1373 </w:instrText>
      </w:r>
      <w:r>
        <w:rPr>
          <w:rFonts w:hint="eastAsia" w:ascii="黑体" w:hAnsi="黑体" w:eastAsia="黑体" w:cs="黑体"/>
        </w:rPr>
        <w:fldChar w:fldCharType="separate"/>
      </w:r>
      <w:r>
        <w:rPr>
          <w:rFonts w:hint="eastAsia" w:ascii="黑体" w:hAnsi="黑体" w:eastAsia="黑体" w:cs="黑体"/>
        </w:rPr>
        <w:t>4. 监理人义务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_Toc1373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_Toc26061 </w:instrText>
      </w:r>
      <w:r>
        <w:rPr>
          <w:rFonts w:hint="eastAsia" w:ascii="黑体" w:hAnsi="黑体" w:eastAsia="黑体" w:cs="黑体"/>
        </w:rPr>
        <w:fldChar w:fldCharType="separate"/>
      </w:r>
      <w:r>
        <w:rPr>
          <w:rFonts w:hint="eastAsia" w:ascii="黑体" w:hAnsi="黑体" w:eastAsia="黑体" w:cs="黑体"/>
        </w:rPr>
        <w:t>4.1 监理人的一般义务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_Toc26061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_Toc8430 </w:instrText>
      </w:r>
      <w:r>
        <w:rPr>
          <w:rFonts w:hint="eastAsia" w:ascii="黑体" w:hAnsi="黑体" w:eastAsia="黑体" w:cs="黑体"/>
        </w:rPr>
        <w:fldChar w:fldCharType="separate"/>
      </w:r>
      <w:r>
        <w:rPr>
          <w:rFonts w:hint="eastAsia" w:ascii="黑体" w:hAnsi="黑体" w:eastAsia="黑体" w:cs="黑体"/>
        </w:rPr>
        <w:t>4.2 履约保证金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_Toc8430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_Toc28782 </w:instrText>
      </w:r>
      <w:r>
        <w:rPr>
          <w:rFonts w:hint="eastAsia" w:ascii="黑体" w:hAnsi="黑体" w:eastAsia="黑体" w:cs="黑体"/>
        </w:rPr>
        <w:fldChar w:fldCharType="separate"/>
      </w:r>
      <w:r>
        <w:rPr>
          <w:rFonts w:hint="eastAsia" w:ascii="黑体" w:hAnsi="黑体" w:eastAsia="黑体" w:cs="黑体"/>
        </w:rPr>
        <w:t>4.3 联合体</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_Toc28782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_Toc31931 </w:instrText>
      </w:r>
      <w:r>
        <w:rPr>
          <w:rFonts w:hint="eastAsia" w:ascii="黑体" w:hAnsi="黑体" w:eastAsia="黑体" w:cs="黑体"/>
        </w:rPr>
        <w:fldChar w:fldCharType="separate"/>
      </w:r>
      <w:r>
        <w:rPr>
          <w:rFonts w:hint="eastAsia" w:ascii="黑体" w:hAnsi="黑体" w:eastAsia="黑体" w:cs="黑体"/>
        </w:rPr>
        <w:t>4.4 总监理工程师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_Toc31931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_Toc12056 </w:instrText>
      </w:r>
      <w:r>
        <w:rPr>
          <w:rFonts w:hint="eastAsia" w:ascii="黑体" w:hAnsi="黑体" w:eastAsia="黑体" w:cs="黑体"/>
        </w:rPr>
        <w:fldChar w:fldCharType="separate"/>
      </w:r>
      <w:r>
        <w:rPr>
          <w:rFonts w:hint="eastAsia" w:ascii="黑体" w:hAnsi="黑体" w:eastAsia="黑体" w:cs="黑体"/>
        </w:rPr>
        <w:t>4.5 监理人员的管理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_Toc12056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_Toc31522 </w:instrText>
      </w:r>
      <w:r>
        <w:rPr>
          <w:rFonts w:hint="eastAsia" w:ascii="黑体" w:hAnsi="黑体" w:eastAsia="黑体" w:cs="黑体"/>
        </w:rPr>
        <w:fldChar w:fldCharType="separate"/>
      </w:r>
      <w:r>
        <w:rPr>
          <w:rFonts w:hint="eastAsia" w:ascii="黑体" w:hAnsi="黑体" w:eastAsia="黑体" w:cs="黑体"/>
        </w:rPr>
        <w:t>4.6 撤换总监理工程师和其他人员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_Toc31522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_Toc29396 </w:instrText>
      </w:r>
      <w:r>
        <w:rPr>
          <w:rFonts w:hint="eastAsia" w:ascii="黑体" w:hAnsi="黑体" w:eastAsia="黑体" w:cs="黑体"/>
        </w:rPr>
        <w:fldChar w:fldCharType="separate"/>
      </w:r>
      <w:r>
        <w:rPr>
          <w:rFonts w:hint="eastAsia" w:ascii="黑体" w:hAnsi="黑体" w:eastAsia="黑体" w:cs="黑体"/>
        </w:rPr>
        <w:t>4.7 保障人员的合法权益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_Toc29396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_Toc10428 </w:instrText>
      </w:r>
      <w:r>
        <w:rPr>
          <w:rFonts w:hint="eastAsia" w:ascii="黑体" w:hAnsi="黑体" w:eastAsia="黑体" w:cs="黑体"/>
        </w:rPr>
        <w:fldChar w:fldCharType="separate"/>
      </w:r>
      <w:r>
        <w:rPr>
          <w:rFonts w:hint="eastAsia" w:ascii="黑体" w:hAnsi="黑体" w:eastAsia="黑体" w:cs="黑体"/>
        </w:rPr>
        <w:t>4.8 合同价款应专款专用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_Toc10428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_Toc24256 </w:instrText>
      </w:r>
      <w:r>
        <w:rPr>
          <w:rFonts w:hint="eastAsia" w:ascii="黑体" w:hAnsi="黑体" w:eastAsia="黑体" w:cs="黑体"/>
        </w:rPr>
        <w:fldChar w:fldCharType="separate"/>
      </w:r>
      <w:r>
        <w:rPr>
          <w:rFonts w:hint="eastAsia" w:ascii="黑体" w:hAnsi="黑体" w:eastAsia="黑体" w:cs="黑体"/>
        </w:rPr>
        <w:t>5. 监理要求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_Toc24256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_Toc26990 </w:instrText>
      </w:r>
      <w:r>
        <w:rPr>
          <w:rFonts w:hint="eastAsia" w:ascii="黑体" w:hAnsi="黑体" w:eastAsia="黑体" w:cs="黑体"/>
        </w:rPr>
        <w:fldChar w:fldCharType="separate"/>
      </w:r>
      <w:r>
        <w:rPr>
          <w:rFonts w:hint="eastAsia" w:ascii="黑体" w:hAnsi="黑体" w:eastAsia="黑体" w:cs="黑体"/>
        </w:rPr>
        <w:t>5.1 监理范围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_Toc26990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_Toc26467 </w:instrText>
      </w:r>
      <w:r>
        <w:rPr>
          <w:rFonts w:hint="eastAsia" w:ascii="黑体" w:hAnsi="黑体" w:eastAsia="黑体" w:cs="黑体"/>
        </w:rPr>
        <w:fldChar w:fldCharType="separate"/>
      </w:r>
      <w:r>
        <w:rPr>
          <w:rFonts w:hint="eastAsia" w:ascii="黑体" w:hAnsi="黑体" w:eastAsia="黑体" w:cs="黑体"/>
        </w:rPr>
        <w:t>5.2 监理依据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_Toc26467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_Toc26362 </w:instrText>
      </w:r>
      <w:r>
        <w:rPr>
          <w:rFonts w:hint="eastAsia" w:ascii="黑体" w:hAnsi="黑体" w:eastAsia="黑体" w:cs="黑体"/>
        </w:rPr>
        <w:fldChar w:fldCharType="separate"/>
      </w:r>
      <w:r>
        <w:rPr>
          <w:rFonts w:hint="eastAsia" w:ascii="黑体" w:hAnsi="黑体" w:eastAsia="黑体" w:cs="黑体"/>
        </w:rPr>
        <w:t>5.3 监理内容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_Toc26362 \h </w:instrText>
      </w:r>
      <w:r>
        <w:rPr>
          <w:rFonts w:hint="eastAsia" w:ascii="黑体" w:hAnsi="黑体" w:eastAsia="黑体" w:cs="黑体"/>
        </w:rPr>
        <w:fldChar w:fldCharType="separate"/>
      </w:r>
      <w:r>
        <w:rPr>
          <w:rFonts w:hint="eastAsia" w:ascii="黑体" w:hAnsi="黑体" w:eastAsia="黑体" w:cs="黑体"/>
        </w:rPr>
        <w:t>48</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_Toc16770 </w:instrText>
      </w:r>
      <w:r>
        <w:rPr>
          <w:rFonts w:hint="eastAsia" w:ascii="黑体" w:hAnsi="黑体" w:eastAsia="黑体" w:cs="黑体"/>
        </w:rPr>
        <w:fldChar w:fldCharType="separate"/>
      </w:r>
      <w:r>
        <w:rPr>
          <w:rFonts w:hint="eastAsia" w:ascii="黑体" w:hAnsi="黑体" w:eastAsia="黑体" w:cs="黑体"/>
        </w:rPr>
        <w:t>5.4 监理文件要求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_Toc16770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_Toc5357 </w:instrText>
      </w:r>
      <w:r>
        <w:rPr>
          <w:rFonts w:hint="eastAsia" w:ascii="黑体" w:hAnsi="黑体" w:eastAsia="黑体" w:cs="黑体"/>
        </w:rPr>
        <w:fldChar w:fldCharType="separate"/>
      </w:r>
      <w:r>
        <w:rPr>
          <w:rFonts w:hint="eastAsia" w:ascii="黑体" w:hAnsi="黑体" w:eastAsia="黑体" w:cs="黑体"/>
        </w:rPr>
        <w:t>6. 开始监理和完成监理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_Toc5357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_Toc25811 </w:instrText>
      </w:r>
      <w:r>
        <w:rPr>
          <w:rFonts w:hint="eastAsia" w:ascii="黑体" w:hAnsi="黑体" w:eastAsia="黑体" w:cs="黑体"/>
        </w:rPr>
        <w:fldChar w:fldCharType="separate"/>
      </w:r>
      <w:r>
        <w:rPr>
          <w:rFonts w:hint="eastAsia" w:ascii="黑体" w:hAnsi="黑体" w:eastAsia="黑体" w:cs="黑体"/>
        </w:rPr>
        <w:t>6.1 开始监理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_Toc25811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_Toc32031 </w:instrText>
      </w:r>
      <w:r>
        <w:rPr>
          <w:rFonts w:hint="eastAsia" w:ascii="黑体" w:hAnsi="黑体" w:eastAsia="黑体" w:cs="黑体"/>
        </w:rPr>
        <w:fldChar w:fldCharType="separate"/>
      </w:r>
      <w:r>
        <w:rPr>
          <w:rFonts w:hint="eastAsia" w:ascii="黑体" w:hAnsi="黑体" w:eastAsia="黑体" w:cs="黑体"/>
        </w:rPr>
        <w:t>6.2 监理周期延误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_Toc32031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_Toc10488 </w:instrText>
      </w:r>
      <w:r>
        <w:rPr>
          <w:rFonts w:hint="eastAsia" w:ascii="黑体" w:hAnsi="黑体" w:eastAsia="黑体" w:cs="黑体"/>
        </w:rPr>
        <w:fldChar w:fldCharType="separate"/>
      </w:r>
      <w:r>
        <w:rPr>
          <w:rFonts w:hint="eastAsia" w:ascii="黑体" w:hAnsi="黑体" w:eastAsia="黑体" w:cs="黑体"/>
        </w:rPr>
        <w:t>6.3 完成监理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_Toc10488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_Toc24868 </w:instrText>
      </w:r>
      <w:r>
        <w:rPr>
          <w:rFonts w:hint="eastAsia" w:ascii="黑体" w:hAnsi="黑体" w:eastAsia="黑体" w:cs="黑体"/>
        </w:rPr>
        <w:fldChar w:fldCharType="separate"/>
      </w:r>
      <w:r>
        <w:rPr>
          <w:rFonts w:hint="eastAsia" w:ascii="黑体" w:hAnsi="黑体" w:eastAsia="黑体" w:cs="黑体"/>
        </w:rPr>
        <w:t>7. 监理责任与保险</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_Toc24868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_Toc30636 </w:instrText>
      </w:r>
      <w:r>
        <w:rPr>
          <w:rFonts w:hint="eastAsia" w:ascii="黑体" w:hAnsi="黑体" w:eastAsia="黑体" w:cs="黑体"/>
        </w:rPr>
        <w:fldChar w:fldCharType="separate"/>
      </w:r>
      <w:r>
        <w:rPr>
          <w:rFonts w:hint="eastAsia" w:ascii="黑体" w:hAnsi="黑体" w:eastAsia="黑体" w:cs="黑体"/>
        </w:rPr>
        <w:t>7.1 监理责任主体</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_Toc30636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_Toc24672 </w:instrText>
      </w:r>
      <w:r>
        <w:rPr>
          <w:rFonts w:hint="eastAsia" w:ascii="黑体" w:hAnsi="黑体" w:eastAsia="黑体" w:cs="黑体"/>
        </w:rPr>
        <w:fldChar w:fldCharType="separate"/>
      </w:r>
      <w:r>
        <w:rPr>
          <w:rFonts w:hint="eastAsia" w:ascii="黑体" w:hAnsi="黑体" w:eastAsia="黑体" w:cs="黑体"/>
        </w:rPr>
        <w:t>7.2 监理责任保险</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_Toc24672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_Toc9485 </w:instrText>
      </w:r>
      <w:r>
        <w:rPr>
          <w:rFonts w:hint="eastAsia" w:ascii="黑体" w:hAnsi="黑体" w:eastAsia="黑体" w:cs="黑体"/>
        </w:rPr>
        <w:fldChar w:fldCharType="separate"/>
      </w:r>
      <w:r>
        <w:rPr>
          <w:rFonts w:hint="eastAsia" w:ascii="黑体" w:hAnsi="黑体" w:eastAsia="黑体" w:cs="黑体"/>
        </w:rPr>
        <w:t>8. 合同变更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_Toc9485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_Toc3996 </w:instrText>
      </w:r>
      <w:r>
        <w:rPr>
          <w:rFonts w:hint="eastAsia" w:ascii="黑体" w:hAnsi="黑体" w:eastAsia="黑体" w:cs="黑体"/>
        </w:rPr>
        <w:fldChar w:fldCharType="separate"/>
      </w:r>
      <w:r>
        <w:rPr>
          <w:rFonts w:hint="eastAsia" w:ascii="黑体" w:hAnsi="黑体" w:eastAsia="黑体" w:cs="黑体"/>
        </w:rPr>
        <w:t>8.1 变更情形</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_Toc3996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_Toc18268 </w:instrText>
      </w:r>
      <w:r>
        <w:rPr>
          <w:rFonts w:hint="eastAsia" w:ascii="黑体" w:hAnsi="黑体" w:eastAsia="黑体" w:cs="黑体"/>
        </w:rPr>
        <w:fldChar w:fldCharType="separate"/>
      </w:r>
      <w:r>
        <w:rPr>
          <w:rFonts w:hint="eastAsia" w:ascii="黑体" w:hAnsi="黑体" w:eastAsia="黑体" w:cs="黑体"/>
        </w:rPr>
        <w:t>8.2 合理化建议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_Toc18268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_Toc5703 </w:instrText>
      </w:r>
      <w:r>
        <w:rPr>
          <w:rFonts w:hint="eastAsia" w:ascii="黑体" w:hAnsi="黑体" w:eastAsia="黑体" w:cs="黑体"/>
        </w:rPr>
        <w:fldChar w:fldCharType="separate"/>
      </w:r>
      <w:r>
        <w:rPr>
          <w:rFonts w:hint="eastAsia" w:ascii="黑体" w:hAnsi="黑体" w:eastAsia="黑体" w:cs="黑体"/>
        </w:rPr>
        <w:t>9. 合同价格与支付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_Toc5703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_Toc29108 </w:instrText>
      </w:r>
      <w:r>
        <w:rPr>
          <w:rFonts w:hint="eastAsia" w:ascii="黑体" w:hAnsi="黑体" w:eastAsia="黑体" w:cs="黑体"/>
        </w:rPr>
        <w:fldChar w:fldCharType="separate"/>
      </w:r>
      <w:r>
        <w:rPr>
          <w:rFonts w:hint="eastAsia" w:ascii="黑体" w:hAnsi="黑体" w:eastAsia="黑体" w:cs="黑体"/>
        </w:rPr>
        <w:t>9.1 合同价格</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_Toc29108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_Toc18127 </w:instrText>
      </w:r>
      <w:r>
        <w:rPr>
          <w:rFonts w:hint="eastAsia" w:ascii="黑体" w:hAnsi="黑体" w:eastAsia="黑体" w:cs="黑体"/>
        </w:rPr>
        <w:fldChar w:fldCharType="separate"/>
      </w:r>
      <w:r>
        <w:rPr>
          <w:rFonts w:hint="eastAsia" w:ascii="黑体" w:hAnsi="黑体" w:eastAsia="黑体" w:cs="黑体"/>
        </w:rPr>
        <w:t>9.2 预付款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_Toc18127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_Toc4486 </w:instrText>
      </w:r>
      <w:r>
        <w:rPr>
          <w:rFonts w:hint="eastAsia" w:ascii="黑体" w:hAnsi="黑体" w:eastAsia="黑体" w:cs="黑体"/>
        </w:rPr>
        <w:fldChar w:fldCharType="separate"/>
      </w:r>
      <w:r>
        <w:rPr>
          <w:rFonts w:hint="eastAsia" w:ascii="黑体" w:hAnsi="黑体" w:eastAsia="黑体" w:cs="黑体"/>
        </w:rPr>
        <w:t>9.3 中期支付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_Toc4486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_Toc4790 </w:instrText>
      </w:r>
      <w:r>
        <w:rPr>
          <w:rFonts w:hint="eastAsia" w:ascii="黑体" w:hAnsi="黑体" w:eastAsia="黑体" w:cs="黑体"/>
        </w:rPr>
        <w:fldChar w:fldCharType="separate"/>
      </w:r>
      <w:r>
        <w:rPr>
          <w:rFonts w:hint="eastAsia" w:ascii="黑体" w:hAnsi="黑体" w:eastAsia="黑体" w:cs="黑体"/>
        </w:rPr>
        <w:t>9.4 费用结算</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_Toc4790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_Toc27866 </w:instrText>
      </w:r>
      <w:r>
        <w:rPr>
          <w:rFonts w:hint="eastAsia" w:ascii="黑体" w:hAnsi="黑体" w:eastAsia="黑体" w:cs="黑体"/>
        </w:rPr>
        <w:fldChar w:fldCharType="separate"/>
      </w:r>
      <w:r>
        <w:rPr>
          <w:rFonts w:hint="eastAsia" w:ascii="黑体" w:hAnsi="黑体" w:eastAsia="黑体" w:cs="黑体"/>
        </w:rPr>
        <w:t>10. 不可抗力</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_Toc27866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_Toc73 </w:instrText>
      </w:r>
      <w:r>
        <w:rPr>
          <w:rFonts w:hint="eastAsia" w:ascii="黑体" w:hAnsi="黑体" w:eastAsia="黑体" w:cs="黑体"/>
        </w:rPr>
        <w:fldChar w:fldCharType="separate"/>
      </w:r>
      <w:r>
        <w:rPr>
          <w:rFonts w:hint="eastAsia" w:ascii="黑体" w:hAnsi="黑体" w:eastAsia="黑体" w:cs="黑体"/>
        </w:rPr>
        <w:t>10.1 不可抗力的确认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_Toc73 \h </w:instrText>
      </w:r>
      <w:r>
        <w:rPr>
          <w:rFonts w:hint="eastAsia" w:ascii="黑体" w:hAnsi="黑体" w:eastAsia="黑体" w:cs="黑体"/>
        </w:rPr>
        <w:fldChar w:fldCharType="separate"/>
      </w:r>
      <w:r>
        <w:rPr>
          <w:rFonts w:hint="eastAsia" w:ascii="黑体" w:hAnsi="黑体" w:eastAsia="黑体" w:cs="黑体"/>
        </w:rPr>
        <w:t>52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_Toc28574 </w:instrText>
      </w:r>
      <w:r>
        <w:rPr>
          <w:rFonts w:hint="eastAsia" w:ascii="黑体" w:hAnsi="黑体" w:eastAsia="黑体" w:cs="黑体"/>
        </w:rPr>
        <w:fldChar w:fldCharType="separate"/>
      </w:r>
      <w:r>
        <w:rPr>
          <w:rFonts w:hint="eastAsia" w:ascii="黑体" w:hAnsi="黑体" w:eastAsia="黑体" w:cs="黑体"/>
        </w:rPr>
        <w:t>10.2 不可抗力的通知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_Toc28574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_Toc14121 </w:instrText>
      </w:r>
      <w:r>
        <w:rPr>
          <w:rFonts w:hint="eastAsia" w:ascii="黑体" w:hAnsi="黑体" w:eastAsia="黑体" w:cs="黑体"/>
        </w:rPr>
        <w:fldChar w:fldCharType="separate"/>
      </w:r>
      <w:r>
        <w:rPr>
          <w:rFonts w:hint="eastAsia" w:ascii="黑体" w:hAnsi="黑体" w:eastAsia="黑体" w:cs="黑体"/>
        </w:rPr>
        <w:t>10.3 不可抗力后果及其处理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_Toc14121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_Toc10392 </w:instrText>
      </w:r>
      <w:r>
        <w:rPr>
          <w:rFonts w:hint="eastAsia" w:ascii="黑体" w:hAnsi="黑体" w:eastAsia="黑体" w:cs="黑体"/>
        </w:rPr>
        <w:fldChar w:fldCharType="separate"/>
      </w:r>
      <w:r>
        <w:rPr>
          <w:rFonts w:hint="eastAsia" w:ascii="黑体" w:hAnsi="黑体" w:eastAsia="黑体" w:cs="黑体"/>
        </w:rPr>
        <w:t>11. 违约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_Toc10392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_Toc8711 </w:instrText>
      </w:r>
      <w:r>
        <w:rPr>
          <w:rFonts w:hint="eastAsia" w:ascii="黑体" w:hAnsi="黑体" w:eastAsia="黑体" w:cs="黑体"/>
        </w:rPr>
        <w:fldChar w:fldCharType="separate"/>
      </w:r>
      <w:r>
        <w:rPr>
          <w:rFonts w:hint="eastAsia" w:ascii="黑体" w:hAnsi="黑体" w:eastAsia="黑体" w:cs="黑体"/>
        </w:rPr>
        <w:t>11.1 监理人违约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_Toc8711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_Toc6835 </w:instrText>
      </w:r>
      <w:r>
        <w:rPr>
          <w:rFonts w:hint="eastAsia" w:ascii="黑体" w:hAnsi="黑体" w:eastAsia="黑体" w:cs="黑体"/>
        </w:rPr>
        <w:fldChar w:fldCharType="separate"/>
      </w:r>
      <w:r>
        <w:rPr>
          <w:rFonts w:hint="eastAsia" w:ascii="黑体" w:hAnsi="黑体" w:eastAsia="黑体" w:cs="黑体"/>
        </w:rPr>
        <w:t>12.2 委托人违约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_Toc6835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_Toc22331 </w:instrText>
      </w:r>
      <w:r>
        <w:rPr>
          <w:rFonts w:hint="eastAsia" w:ascii="黑体" w:hAnsi="黑体" w:eastAsia="黑体" w:cs="黑体"/>
        </w:rPr>
        <w:fldChar w:fldCharType="separate"/>
      </w:r>
      <w:r>
        <w:rPr>
          <w:rFonts w:hint="eastAsia" w:ascii="黑体" w:hAnsi="黑体" w:eastAsia="黑体" w:cs="黑体"/>
        </w:rPr>
        <w:t>11.3 第三人造成的违约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_Toc22331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_Toc28078 </w:instrText>
      </w:r>
      <w:r>
        <w:rPr>
          <w:rFonts w:hint="eastAsia" w:ascii="黑体" w:hAnsi="黑体" w:eastAsia="黑体" w:cs="黑体"/>
        </w:rPr>
        <w:fldChar w:fldCharType="separate"/>
      </w:r>
      <w:r>
        <w:rPr>
          <w:rFonts w:hint="eastAsia" w:ascii="黑体" w:hAnsi="黑体" w:eastAsia="黑体" w:cs="黑体"/>
        </w:rPr>
        <w:t>12. 争议的解决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_Toc28078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_Toc18211 </w:instrText>
      </w:r>
      <w:r>
        <w:rPr>
          <w:rFonts w:hint="eastAsia" w:ascii="黑体" w:hAnsi="黑体" w:eastAsia="黑体" w:cs="黑体"/>
        </w:rPr>
        <w:fldChar w:fldCharType="separate"/>
      </w:r>
      <w:r>
        <w:rPr>
          <w:rFonts w:hint="eastAsia" w:ascii="黑体" w:hAnsi="黑体" w:eastAsia="黑体" w:cs="黑体"/>
        </w:rPr>
        <w:t>第二节专用合同条款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_Toc18211 \h </w:instrText>
      </w:r>
      <w:r>
        <w:rPr>
          <w:rFonts w:hint="eastAsia" w:ascii="黑体" w:hAnsi="黑体" w:eastAsia="黑体" w:cs="黑体"/>
        </w:rPr>
        <w:fldChar w:fldCharType="separate"/>
      </w:r>
      <w:r>
        <w:rPr>
          <w:rFonts w:hint="eastAsia" w:ascii="黑体" w:hAnsi="黑体" w:eastAsia="黑体" w:cs="黑体"/>
        </w:rPr>
        <w:t>55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_Toc8587 </w:instrText>
      </w:r>
      <w:r>
        <w:rPr>
          <w:rFonts w:hint="eastAsia" w:ascii="黑体" w:hAnsi="黑体" w:eastAsia="黑体" w:cs="黑体"/>
        </w:rPr>
        <w:fldChar w:fldCharType="separate"/>
      </w:r>
      <w:r>
        <w:rPr>
          <w:rFonts w:hint="eastAsia" w:ascii="黑体" w:hAnsi="黑体" w:eastAsia="黑体" w:cs="黑体"/>
        </w:rPr>
        <w:t>第三节合同附件格式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_Toc8587 \h </w:instrText>
      </w:r>
      <w:r>
        <w:rPr>
          <w:rFonts w:hint="eastAsia" w:ascii="黑体" w:hAnsi="黑体" w:eastAsia="黑体" w:cs="黑体"/>
        </w:rPr>
        <w:fldChar w:fldCharType="separate"/>
      </w:r>
      <w:r>
        <w:rPr>
          <w:rFonts w:hint="eastAsia" w:ascii="黑体" w:hAnsi="黑体" w:eastAsia="黑体" w:cs="黑体"/>
        </w:rPr>
        <w:t>56</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_Toc26220 </w:instrText>
      </w:r>
      <w:r>
        <w:rPr>
          <w:rFonts w:hint="eastAsia" w:ascii="黑体" w:hAnsi="黑体" w:eastAsia="黑体" w:cs="黑体"/>
        </w:rPr>
        <w:fldChar w:fldCharType="separate"/>
      </w:r>
      <w:r>
        <w:rPr>
          <w:rFonts w:hint="eastAsia" w:ascii="黑体" w:hAnsi="黑体" w:eastAsia="黑体" w:cs="黑体"/>
        </w:rPr>
        <w:t>附件一：合同协议书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_Toc26220 \h </w:instrText>
      </w:r>
      <w:r>
        <w:rPr>
          <w:rFonts w:hint="eastAsia" w:ascii="黑体" w:hAnsi="黑体" w:eastAsia="黑体" w:cs="黑体"/>
        </w:rPr>
        <w:fldChar w:fldCharType="separate"/>
      </w:r>
      <w:r>
        <w:rPr>
          <w:rFonts w:hint="eastAsia" w:ascii="黑体" w:hAnsi="黑体" w:eastAsia="黑体" w:cs="黑体"/>
        </w:rPr>
        <w:t>57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_Toc16941 </w:instrText>
      </w:r>
      <w:r>
        <w:rPr>
          <w:rFonts w:hint="eastAsia" w:ascii="黑体" w:hAnsi="黑体" w:eastAsia="黑体" w:cs="黑体"/>
        </w:rPr>
        <w:fldChar w:fldCharType="separate"/>
      </w:r>
      <w:r>
        <w:rPr>
          <w:rFonts w:hint="eastAsia" w:ascii="黑体" w:hAnsi="黑体" w:eastAsia="黑体" w:cs="黑体"/>
        </w:rPr>
        <w:t>附件二：履约保证金格式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_Toc16941 \h </w:instrText>
      </w:r>
      <w:r>
        <w:rPr>
          <w:rFonts w:hint="eastAsia" w:ascii="黑体" w:hAnsi="黑体" w:eastAsia="黑体" w:cs="黑体"/>
        </w:rPr>
        <w:fldChar w:fldCharType="separate"/>
      </w:r>
      <w:r>
        <w:rPr>
          <w:rFonts w:hint="eastAsia" w:ascii="黑体" w:hAnsi="黑体" w:eastAsia="黑体" w:cs="黑体"/>
        </w:rPr>
        <w:t>59</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_Toc31667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val="en-US" w:eastAsia="zh-CN"/>
        </w:rPr>
        <w:t>六</w:t>
      </w:r>
      <w:r>
        <w:rPr>
          <w:rFonts w:hint="eastAsia" w:ascii="黑体" w:hAnsi="黑体" w:eastAsia="黑体" w:cs="黑体"/>
        </w:rPr>
        <w:t>章委托人要求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_Toc31667 \h </w:instrText>
      </w:r>
      <w:r>
        <w:rPr>
          <w:rFonts w:hint="eastAsia" w:ascii="黑体" w:hAnsi="黑体" w:eastAsia="黑体" w:cs="黑体"/>
        </w:rPr>
        <w:fldChar w:fldCharType="separate"/>
      </w:r>
      <w:r>
        <w:rPr>
          <w:rFonts w:hint="eastAsia" w:ascii="黑体" w:hAnsi="黑体" w:eastAsia="黑体" w:cs="黑体"/>
        </w:rPr>
        <w:t>60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_Toc17653 </w:instrText>
      </w:r>
      <w:r>
        <w:rPr>
          <w:rFonts w:hint="eastAsia" w:ascii="黑体" w:hAnsi="黑体" w:eastAsia="黑体" w:cs="黑体"/>
        </w:rPr>
        <w:fldChar w:fldCharType="separate"/>
      </w:r>
      <w:r>
        <w:rPr>
          <w:rFonts w:hint="eastAsia" w:ascii="黑体" w:hAnsi="黑体" w:eastAsia="黑体" w:cs="黑体"/>
          <w:szCs w:val="28"/>
        </w:rPr>
        <w:t>一、监理要求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_Toc17653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_Toc13089 </w:instrText>
      </w:r>
      <w:r>
        <w:rPr>
          <w:rFonts w:hint="eastAsia" w:ascii="黑体" w:hAnsi="黑体" w:eastAsia="黑体" w:cs="黑体"/>
        </w:rPr>
        <w:fldChar w:fldCharType="separate"/>
      </w:r>
      <w:r>
        <w:rPr>
          <w:rFonts w:hint="eastAsia" w:ascii="黑体" w:hAnsi="黑体" w:eastAsia="黑体" w:cs="黑体"/>
          <w:szCs w:val="28"/>
        </w:rPr>
        <w:t>二、适用规范标准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_Toc13089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_Toc18547 </w:instrText>
      </w:r>
      <w:r>
        <w:rPr>
          <w:rFonts w:hint="eastAsia" w:ascii="黑体" w:hAnsi="黑体" w:eastAsia="黑体" w:cs="黑体"/>
        </w:rPr>
        <w:fldChar w:fldCharType="separate"/>
      </w:r>
      <w:r>
        <w:rPr>
          <w:rFonts w:hint="eastAsia" w:ascii="黑体" w:hAnsi="黑体" w:eastAsia="黑体" w:cs="黑体"/>
          <w:szCs w:val="28"/>
        </w:rPr>
        <w:t>三、成果文件要求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_Toc18547 \h </w:instrText>
      </w:r>
      <w:r>
        <w:rPr>
          <w:rFonts w:hint="eastAsia" w:ascii="黑体" w:hAnsi="黑体" w:eastAsia="黑体" w:cs="黑体"/>
        </w:rPr>
        <w:fldChar w:fldCharType="separate"/>
      </w:r>
      <w:r>
        <w:rPr>
          <w:rFonts w:hint="eastAsia" w:ascii="黑体" w:hAnsi="黑体" w:eastAsia="黑体" w:cs="黑体"/>
        </w:rPr>
        <w:t>61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_Toc28654 </w:instrText>
      </w:r>
      <w:r>
        <w:rPr>
          <w:rFonts w:hint="eastAsia" w:ascii="黑体" w:hAnsi="黑体" w:eastAsia="黑体" w:cs="黑体"/>
        </w:rPr>
        <w:fldChar w:fldCharType="separate"/>
      </w:r>
      <w:r>
        <w:rPr>
          <w:rFonts w:hint="eastAsia" w:ascii="黑体" w:hAnsi="黑体" w:eastAsia="黑体" w:cs="黑体"/>
          <w:szCs w:val="28"/>
        </w:rPr>
        <w:t>四、委托人财产清单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_Toc28654 \h </w:instrText>
      </w:r>
      <w:r>
        <w:rPr>
          <w:rFonts w:hint="eastAsia" w:ascii="黑体" w:hAnsi="黑体" w:eastAsia="黑体" w:cs="黑体"/>
        </w:rPr>
        <w:fldChar w:fldCharType="separate"/>
      </w:r>
      <w:r>
        <w:rPr>
          <w:rFonts w:hint="eastAsia" w:ascii="黑体" w:hAnsi="黑体" w:eastAsia="黑体" w:cs="黑体"/>
        </w:rPr>
        <w:t>62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_Toc28251 </w:instrText>
      </w:r>
      <w:r>
        <w:rPr>
          <w:rFonts w:hint="eastAsia" w:ascii="黑体" w:hAnsi="黑体" w:eastAsia="黑体" w:cs="黑体"/>
        </w:rPr>
        <w:fldChar w:fldCharType="separate"/>
      </w:r>
      <w:r>
        <w:rPr>
          <w:rFonts w:hint="eastAsia" w:ascii="黑体" w:hAnsi="黑体" w:eastAsia="黑体" w:cs="黑体"/>
        </w:rPr>
        <w:t>（一）委托人提供的设备、设施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_Toc28251 \h </w:instrText>
      </w:r>
      <w:r>
        <w:rPr>
          <w:rFonts w:hint="eastAsia" w:ascii="黑体" w:hAnsi="黑体" w:eastAsia="黑体" w:cs="黑体"/>
        </w:rPr>
        <w:fldChar w:fldCharType="separate"/>
      </w:r>
      <w:r>
        <w:rPr>
          <w:rFonts w:hint="eastAsia" w:ascii="黑体" w:hAnsi="黑体" w:eastAsia="黑体" w:cs="黑体"/>
        </w:rPr>
        <w:t>62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_Toc21228 </w:instrText>
      </w:r>
      <w:r>
        <w:rPr>
          <w:rFonts w:hint="eastAsia" w:ascii="黑体" w:hAnsi="黑体" w:eastAsia="黑体" w:cs="黑体"/>
        </w:rPr>
        <w:fldChar w:fldCharType="separate"/>
      </w:r>
      <w:r>
        <w:rPr>
          <w:rFonts w:hint="eastAsia" w:ascii="黑体" w:hAnsi="黑体" w:eastAsia="黑体" w:cs="黑体"/>
        </w:rPr>
        <w:t>（二）委托人提供的资料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_Toc21228 \h </w:instrText>
      </w:r>
      <w:r>
        <w:rPr>
          <w:rFonts w:hint="eastAsia" w:ascii="黑体" w:hAnsi="黑体" w:eastAsia="黑体" w:cs="黑体"/>
        </w:rPr>
        <w:fldChar w:fldCharType="separate"/>
      </w:r>
      <w:r>
        <w:rPr>
          <w:rFonts w:hint="eastAsia" w:ascii="黑体" w:hAnsi="黑体" w:eastAsia="黑体" w:cs="黑体"/>
        </w:rPr>
        <w:t>62</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_Toc2652 </w:instrText>
      </w:r>
      <w:r>
        <w:rPr>
          <w:rFonts w:hint="eastAsia" w:ascii="黑体" w:hAnsi="黑体" w:eastAsia="黑体" w:cs="黑体"/>
        </w:rPr>
        <w:fldChar w:fldCharType="separate"/>
      </w:r>
      <w:r>
        <w:rPr>
          <w:rFonts w:hint="eastAsia" w:ascii="黑体" w:hAnsi="黑体" w:eastAsia="黑体" w:cs="黑体"/>
        </w:rPr>
        <w:t>（三）委托人财产使用要求及退还要求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_Toc2652 \h </w:instrText>
      </w:r>
      <w:r>
        <w:rPr>
          <w:rFonts w:hint="eastAsia" w:ascii="黑体" w:hAnsi="黑体" w:eastAsia="黑体" w:cs="黑体"/>
        </w:rPr>
        <w:fldChar w:fldCharType="separate"/>
      </w:r>
      <w:r>
        <w:rPr>
          <w:rFonts w:hint="eastAsia" w:ascii="黑体" w:hAnsi="黑体" w:eastAsia="黑体" w:cs="黑体"/>
        </w:rPr>
        <w:t>62</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_Toc26256 </w:instrText>
      </w:r>
      <w:r>
        <w:rPr>
          <w:rFonts w:hint="eastAsia" w:ascii="黑体" w:hAnsi="黑体" w:eastAsia="黑体" w:cs="黑体"/>
        </w:rPr>
        <w:fldChar w:fldCharType="separate"/>
      </w:r>
      <w:r>
        <w:rPr>
          <w:rFonts w:hint="eastAsia" w:ascii="黑体" w:hAnsi="黑体" w:eastAsia="黑体" w:cs="黑体"/>
          <w:szCs w:val="28"/>
        </w:rPr>
        <w:t>五、委托人提供的便利条件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_Toc26256 \h </w:instrText>
      </w:r>
      <w:r>
        <w:rPr>
          <w:rFonts w:hint="eastAsia" w:ascii="黑体" w:hAnsi="黑体" w:eastAsia="黑体" w:cs="黑体"/>
        </w:rPr>
        <w:fldChar w:fldCharType="separate"/>
      </w:r>
      <w:r>
        <w:rPr>
          <w:rFonts w:hint="eastAsia" w:ascii="黑体" w:hAnsi="黑体" w:eastAsia="黑体" w:cs="黑体"/>
        </w:rPr>
        <w:t>62</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_Toc29847 </w:instrText>
      </w:r>
      <w:r>
        <w:rPr>
          <w:rFonts w:hint="eastAsia" w:ascii="黑体" w:hAnsi="黑体" w:eastAsia="黑体" w:cs="黑体"/>
        </w:rPr>
        <w:fldChar w:fldCharType="separate"/>
      </w:r>
      <w:r>
        <w:rPr>
          <w:rFonts w:hint="eastAsia" w:ascii="黑体" w:hAnsi="黑体" w:eastAsia="黑体" w:cs="黑体"/>
          <w:szCs w:val="28"/>
        </w:rPr>
        <w:t>六、监理人需要自备的工作条件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_Toc29847 \h </w:instrText>
      </w:r>
      <w:r>
        <w:rPr>
          <w:rFonts w:hint="eastAsia" w:ascii="黑体" w:hAnsi="黑体" w:eastAsia="黑体" w:cs="黑体"/>
        </w:rPr>
        <w:fldChar w:fldCharType="separate"/>
      </w:r>
      <w:r>
        <w:rPr>
          <w:rFonts w:hint="eastAsia" w:ascii="黑体" w:hAnsi="黑体" w:eastAsia="黑体" w:cs="黑体"/>
        </w:rPr>
        <w:t>63</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_Toc9230 </w:instrText>
      </w:r>
      <w:r>
        <w:rPr>
          <w:rFonts w:hint="eastAsia" w:ascii="黑体" w:hAnsi="黑体" w:eastAsia="黑体" w:cs="黑体"/>
        </w:rPr>
        <w:fldChar w:fldCharType="separate"/>
      </w:r>
      <w:r>
        <w:rPr>
          <w:rFonts w:hint="eastAsia" w:ascii="黑体" w:hAnsi="黑体" w:eastAsia="黑体" w:cs="黑体"/>
          <w:szCs w:val="28"/>
        </w:rPr>
        <w:t>七、委托人的其他要求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_Toc9230 \h </w:instrText>
      </w:r>
      <w:r>
        <w:rPr>
          <w:rFonts w:hint="eastAsia" w:ascii="黑体" w:hAnsi="黑体" w:eastAsia="黑体" w:cs="黑体"/>
        </w:rPr>
        <w:fldChar w:fldCharType="separate"/>
      </w:r>
      <w:r>
        <w:rPr>
          <w:rFonts w:hint="eastAsia" w:ascii="黑体" w:hAnsi="黑体" w:eastAsia="黑体" w:cs="黑体"/>
        </w:rPr>
        <w:t>63</w:t>
      </w:r>
      <w:r>
        <w:rPr>
          <w:rFonts w:hint="eastAsia" w:ascii="黑体" w:hAnsi="黑体" w:eastAsia="黑体" w:cs="黑体"/>
        </w:rPr>
        <w:fldChar w:fldCharType="end"/>
      </w:r>
      <w:r>
        <w:rPr>
          <w:rFonts w:hint="eastAsia" w:ascii="黑体" w:hAnsi="黑体" w:eastAsia="黑体" w:cs="黑体"/>
        </w:rPr>
        <w:fldChar w:fldCharType="end"/>
      </w:r>
    </w:p>
    <w:p>
      <w:pPr>
        <w:pStyle w:val="26"/>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_Toc1207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val="en-US" w:eastAsia="zh-CN"/>
        </w:rPr>
        <w:t>七</w:t>
      </w:r>
      <w:r>
        <w:rPr>
          <w:rFonts w:hint="eastAsia" w:ascii="黑体" w:hAnsi="黑体" w:eastAsia="黑体" w:cs="黑体"/>
        </w:rPr>
        <w:t>章投标文件格式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_Toc1207 \h </w:instrText>
      </w:r>
      <w:r>
        <w:rPr>
          <w:rFonts w:hint="eastAsia" w:ascii="黑体" w:hAnsi="黑体" w:eastAsia="黑体" w:cs="黑体"/>
        </w:rPr>
        <w:fldChar w:fldCharType="separate"/>
      </w:r>
      <w:r>
        <w:rPr>
          <w:rFonts w:hint="eastAsia" w:ascii="黑体" w:hAnsi="黑体" w:eastAsia="黑体" w:cs="黑体"/>
        </w:rPr>
        <w:t>64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_Toc25216 </w:instrText>
      </w:r>
      <w:r>
        <w:rPr>
          <w:rFonts w:hint="eastAsia" w:ascii="黑体" w:hAnsi="黑体" w:eastAsia="黑体" w:cs="黑体"/>
        </w:rPr>
        <w:fldChar w:fldCharType="separate"/>
      </w:r>
      <w:r>
        <w:rPr>
          <w:rFonts w:hint="eastAsia" w:ascii="黑体" w:hAnsi="黑体" w:eastAsia="黑体" w:cs="黑体"/>
        </w:rPr>
        <w:t>目录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_Toc25216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_Toc8967 </w:instrText>
      </w:r>
      <w:r>
        <w:rPr>
          <w:rFonts w:hint="eastAsia" w:ascii="黑体" w:hAnsi="黑体" w:eastAsia="黑体" w:cs="黑体"/>
        </w:rPr>
        <w:fldChar w:fldCharType="separate"/>
      </w:r>
      <w:r>
        <w:rPr>
          <w:rFonts w:hint="eastAsia" w:ascii="黑体" w:hAnsi="黑体" w:eastAsia="黑体" w:cs="黑体"/>
        </w:rPr>
        <w:t>一、投标函及投标函附录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_Toc8967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_Toc2106 </w:instrText>
      </w:r>
      <w:r>
        <w:rPr>
          <w:rFonts w:hint="eastAsia" w:ascii="黑体" w:hAnsi="黑体" w:eastAsia="黑体" w:cs="黑体"/>
        </w:rPr>
        <w:fldChar w:fldCharType="separate"/>
      </w:r>
      <w:r>
        <w:rPr>
          <w:rFonts w:hint="eastAsia" w:ascii="黑体" w:hAnsi="黑体" w:eastAsia="黑体" w:cs="黑体"/>
        </w:rPr>
        <w:t>（一）投标函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_Toc2106 \h </w:instrText>
      </w:r>
      <w:r>
        <w:rPr>
          <w:rFonts w:hint="eastAsia" w:ascii="黑体" w:hAnsi="黑体" w:eastAsia="黑体" w:cs="黑体"/>
        </w:rPr>
        <w:fldChar w:fldCharType="separate"/>
      </w:r>
      <w:r>
        <w:rPr>
          <w:rFonts w:hint="eastAsia" w:ascii="黑体" w:hAnsi="黑体" w:eastAsia="黑体" w:cs="黑体"/>
        </w:rPr>
        <w:t>67</w:t>
      </w:r>
      <w:r>
        <w:rPr>
          <w:rFonts w:hint="eastAsia" w:ascii="黑体" w:hAnsi="黑体" w:eastAsia="黑体" w:cs="黑体"/>
        </w:rPr>
        <w:fldChar w:fldCharType="end"/>
      </w:r>
      <w:r>
        <w:rPr>
          <w:rFonts w:hint="eastAsia" w:ascii="黑体" w:hAnsi="黑体" w:eastAsia="黑体" w:cs="黑体"/>
        </w:rPr>
        <w:fldChar w:fldCharType="end"/>
      </w:r>
    </w:p>
    <w:p>
      <w:pPr>
        <w:pStyle w:val="19"/>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_Toc1783 </w:instrText>
      </w:r>
      <w:r>
        <w:rPr>
          <w:rFonts w:hint="eastAsia" w:ascii="黑体" w:hAnsi="黑体" w:eastAsia="黑体" w:cs="黑体"/>
        </w:rPr>
        <w:fldChar w:fldCharType="separate"/>
      </w:r>
      <w:r>
        <w:rPr>
          <w:rFonts w:hint="eastAsia" w:ascii="黑体" w:hAnsi="黑体" w:eastAsia="黑体" w:cs="黑体"/>
        </w:rPr>
        <w:t>（二）投标函附录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_Toc1783 \h </w:instrText>
      </w:r>
      <w:r>
        <w:rPr>
          <w:rFonts w:hint="eastAsia" w:ascii="黑体" w:hAnsi="黑体" w:eastAsia="黑体" w:cs="黑体"/>
        </w:rPr>
        <w:fldChar w:fldCharType="separate"/>
      </w:r>
      <w:r>
        <w:rPr>
          <w:rFonts w:hint="eastAsia" w:ascii="黑体" w:hAnsi="黑体" w:eastAsia="黑体" w:cs="黑体"/>
        </w:rPr>
        <w:t>69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_Toc22448 </w:instrText>
      </w:r>
      <w:r>
        <w:rPr>
          <w:rFonts w:hint="eastAsia" w:ascii="黑体" w:hAnsi="黑体" w:eastAsia="黑体" w:cs="黑体"/>
        </w:rPr>
        <w:fldChar w:fldCharType="separate"/>
      </w:r>
      <w:r>
        <w:rPr>
          <w:rFonts w:hint="eastAsia" w:ascii="黑体" w:hAnsi="黑体" w:eastAsia="黑体" w:cs="黑体"/>
        </w:rPr>
        <w:t>二、</w:t>
      </w:r>
      <w:r>
        <w:rPr>
          <w:rFonts w:hint="eastAsia" w:ascii="黑体" w:hAnsi="黑体" w:eastAsia="黑体" w:cs="黑体"/>
          <w:szCs w:val="32"/>
        </w:rPr>
        <w:t>法定代表人身份证明</w:t>
      </w:r>
      <w:r>
        <w:rPr>
          <w:rFonts w:hint="eastAsia" w:ascii="黑体" w:hAnsi="黑体" w:eastAsia="黑体" w:cs="黑体"/>
          <w:szCs w:val="32"/>
          <w:lang w:val="en-US" w:eastAsia="zh-CN"/>
        </w:rPr>
        <w:t>及授权委托书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_Toc22448 \h </w:instrText>
      </w:r>
      <w:r>
        <w:rPr>
          <w:rFonts w:hint="eastAsia" w:ascii="黑体" w:hAnsi="黑体" w:eastAsia="黑体" w:cs="黑体"/>
        </w:rPr>
        <w:fldChar w:fldCharType="separate"/>
      </w:r>
      <w:r>
        <w:rPr>
          <w:rFonts w:hint="eastAsia" w:ascii="黑体" w:hAnsi="黑体" w:eastAsia="黑体" w:cs="黑体"/>
        </w:rPr>
        <w:t>70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_Toc14052 </w:instrText>
      </w:r>
      <w:r>
        <w:rPr>
          <w:rFonts w:hint="eastAsia" w:ascii="黑体" w:hAnsi="黑体" w:eastAsia="黑体" w:cs="黑体"/>
        </w:rPr>
        <w:fldChar w:fldCharType="separate"/>
      </w:r>
      <w:r>
        <w:rPr>
          <w:rFonts w:hint="eastAsia" w:ascii="黑体" w:hAnsi="黑体" w:eastAsia="黑体" w:cs="黑体"/>
        </w:rPr>
        <w:t>三、联合体协议书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_Toc14052 \h </w:instrText>
      </w:r>
      <w:r>
        <w:rPr>
          <w:rFonts w:hint="eastAsia" w:ascii="黑体" w:hAnsi="黑体" w:eastAsia="黑体" w:cs="黑体"/>
        </w:rPr>
        <w:fldChar w:fldCharType="separate"/>
      </w:r>
      <w:r>
        <w:rPr>
          <w:rFonts w:hint="eastAsia" w:ascii="黑体" w:hAnsi="黑体" w:eastAsia="黑体" w:cs="黑体"/>
        </w:rPr>
        <w:t>72</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_Toc15516 </w:instrText>
      </w:r>
      <w:r>
        <w:rPr>
          <w:rFonts w:hint="eastAsia" w:ascii="黑体" w:hAnsi="黑体" w:eastAsia="黑体" w:cs="黑体"/>
        </w:rPr>
        <w:fldChar w:fldCharType="separate"/>
      </w:r>
      <w:r>
        <w:rPr>
          <w:rFonts w:hint="eastAsia" w:ascii="黑体" w:hAnsi="黑体" w:eastAsia="黑体" w:cs="黑体"/>
        </w:rPr>
        <w:t>四、投标保证金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_Toc15516 \h </w:instrText>
      </w:r>
      <w:r>
        <w:rPr>
          <w:rFonts w:hint="eastAsia" w:ascii="黑体" w:hAnsi="黑体" w:eastAsia="黑体" w:cs="黑体"/>
        </w:rPr>
        <w:fldChar w:fldCharType="separate"/>
      </w:r>
      <w:r>
        <w:rPr>
          <w:rFonts w:hint="eastAsia" w:ascii="黑体" w:hAnsi="黑体" w:eastAsia="黑体" w:cs="黑体"/>
        </w:rPr>
        <w:t>73</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_Toc15147 </w:instrText>
      </w:r>
      <w:r>
        <w:rPr>
          <w:rFonts w:hint="eastAsia" w:ascii="黑体" w:hAnsi="黑体" w:eastAsia="黑体" w:cs="黑体"/>
        </w:rPr>
        <w:fldChar w:fldCharType="separate"/>
      </w:r>
      <w:r>
        <w:rPr>
          <w:rFonts w:hint="eastAsia" w:ascii="黑体" w:hAnsi="黑体" w:eastAsia="黑体" w:cs="黑体"/>
        </w:rPr>
        <w:t>五、监理报酬清单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_Toc15147 \h </w:instrText>
      </w:r>
      <w:r>
        <w:rPr>
          <w:rFonts w:hint="eastAsia" w:ascii="黑体" w:hAnsi="黑体" w:eastAsia="黑体" w:cs="黑体"/>
        </w:rPr>
        <w:fldChar w:fldCharType="separate"/>
      </w:r>
      <w:r>
        <w:rPr>
          <w:rFonts w:hint="eastAsia" w:ascii="黑体" w:hAnsi="黑体" w:eastAsia="黑体" w:cs="黑体"/>
        </w:rPr>
        <w:t>74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_Toc25413 </w:instrText>
      </w:r>
      <w:r>
        <w:rPr>
          <w:rFonts w:hint="eastAsia" w:ascii="黑体" w:hAnsi="黑体" w:eastAsia="黑体" w:cs="黑体"/>
        </w:rPr>
        <w:fldChar w:fldCharType="separate"/>
      </w:r>
      <w:r>
        <w:rPr>
          <w:rFonts w:hint="eastAsia" w:ascii="黑体" w:hAnsi="黑体" w:eastAsia="黑体" w:cs="黑体"/>
        </w:rPr>
        <w:t>六、资格审查资料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_Toc25413 \h </w:instrText>
      </w:r>
      <w:r>
        <w:rPr>
          <w:rFonts w:hint="eastAsia" w:ascii="黑体" w:hAnsi="黑体" w:eastAsia="黑体" w:cs="黑体"/>
        </w:rPr>
        <w:fldChar w:fldCharType="separate"/>
      </w:r>
      <w:r>
        <w:rPr>
          <w:rFonts w:hint="eastAsia" w:ascii="黑体" w:hAnsi="黑体" w:eastAsia="黑体" w:cs="黑体"/>
        </w:rPr>
        <w:t>75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_Toc29466 </w:instrText>
      </w:r>
      <w:r>
        <w:rPr>
          <w:rFonts w:hint="eastAsia" w:ascii="黑体" w:hAnsi="黑体" w:eastAsia="黑体" w:cs="黑体"/>
        </w:rPr>
        <w:fldChar w:fldCharType="separate"/>
      </w:r>
      <w:r>
        <w:rPr>
          <w:rFonts w:hint="eastAsia" w:ascii="黑体" w:hAnsi="黑体" w:eastAsia="黑体" w:cs="黑体"/>
        </w:rPr>
        <w:t>（一）投标人基本情况表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_Toc29466 \h </w:instrText>
      </w:r>
      <w:r>
        <w:rPr>
          <w:rFonts w:hint="eastAsia" w:ascii="黑体" w:hAnsi="黑体" w:eastAsia="黑体" w:cs="黑体"/>
        </w:rPr>
        <w:fldChar w:fldCharType="separate"/>
      </w:r>
      <w:r>
        <w:rPr>
          <w:rFonts w:hint="eastAsia" w:ascii="黑体" w:hAnsi="黑体" w:eastAsia="黑体" w:cs="黑体"/>
        </w:rPr>
        <w:t>75</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_Toc27185 </w:instrText>
      </w:r>
      <w:r>
        <w:rPr>
          <w:rFonts w:hint="eastAsia" w:ascii="黑体" w:hAnsi="黑体" w:eastAsia="黑体" w:cs="黑体"/>
        </w:rPr>
        <w:fldChar w:fldCharType="separate"/>
      </w:r>
      <w:r>
        <w:rPr>
          <w:rFonts w:hint="eastAsia" w:ascii="黑体" w:hAnsi="黑体" w:eastAsia="黑体" w:cs="黑体"/>
        </w:rPr>
        <w:t>（二）近年财务状况表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_Toc27185 \h </w:instrText>
      </w:r>
      <w:r>
        <w:rPr>
          <w:rFonts w:hint="eastAsia" w:ascii="黑体" w:hAnsi="黑体" w:eastAsia="黑体" w:cs="黑体"/>
        </w:rPr>
        <w:fldChar w:fldCharType="separate"/>
      </w:r>
      <w:r>
        <w:rPr>
          <w:rFonts w:hint="eastAsia" w:ascii="黑体" w:hAnsi="黑体" w:eastAsia="黑体" w:cs="黑体"/>
        </w:rPr>
        <w:t>77</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_Toc20217 </w:instrText>
      </w:r>
      <w:r>
        <w:rPr>
          <w:rFonts w:hint="eastAsia" w:ascii="黑体" w:hAnsi="黑体" w:eastAsia="黑体" w:cs="黑体"/>
        </w:rPr>
        <w:fldChar w:fldCharType="separate"/>
      </w:r>
      <w:r>
        <w:rPr>
          <w:rFonts w:hint="eastAsia" w:ascii="黑体" w:hAnsi="黑体" w:eastAsia="黑体" w:cs="黑体"/>
        </w:rPr>
        <w:t>（三）近年完成的类似项目情况表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_Toc20217 \h </w:instrText>
      </w:r>
      <w:r>
        <w:rPr>
          <w:rFonts w:hint="eastAsia" w:ascii="黑体" w:hAnsi="黑体" w:eastAsia="黑体" w:cs="黑体"/>
        </w:rPr>
        <w:fldChar w:fldCharType="separate"/>
      </w:r>
      <w:r>
        <w:rPr>
          <w:rFonts w:hint="eastAsia" w:ascii="黑体" w:hAnsi="黑体" w:eastAsia="黑体" w:cs="黑体"/>
        </w:rPr>
        <w:t>78</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_Toc18605 </w:instrText>
      </w:r>
      <w:r>
        <w:rPr>
          <w:rFonts w:hint="eastAsia" w:ascii="黑体" w:hAnsi="黑体" w:eastAsia="黑体" w:cs="黑体"/>
        </w:rPr>
        <w:fldChar w:fldCharType="separate"/>
      </w:r>
      <w:r>
        <w:rPr>
          <w:rFonts w:hint="eastAsia" w:ascii="黑体" w:hAnsi="黑体" w:eastAsia="黑体" w:cs="黑体"/>
        </w:rPr>
        <w:t>（四）正在</w:t>
      </w:r>
      <w:r>
        <w:rPr>
          <w:rFonts w:hint="eastAsia" w:ascii="黑体" w:hAnsi="黑体" w:eastAsia="黑体" w:cs="黑体"/>
          <w:lang w:val="en-US" w:eastAsia="zh-CN"/>
        </w:rPr>
        <w:t>监理</w:t>
      </w:r>
      <w:r>
        <w:rPr>
          <w:rFonts w:hint="eastAsia" w:ascii="黑体" w:hAnsi="黑体" w:eastAsia="黑体" w:cs="黑体"/>
        </w:rPr>
        <w:t>的和新承接的项目情况表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_Toc18605 \h </w:instrText>
      </w:r>
      <w:r>
        <w:rPr>
          <w:rFonts w:hint="eastAsia" w:ascii="黑体" w:hAnsi="黑体" w:eastAsia="黑体" w:cs="黑体"/>
        </w:rPr>
        <w:fldChar w:fldCharType="separate"/>
      </w:r>
      <w:r>
        <w:rPr>
          <w:rFonts w:hint="eastAsia" w:ascii="黑体" w:hAnsi="黑体" w:eastAsia="黑体" w:cs="黑体"/>
        </w:rPr>
        <w:t>79</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_Toc4314 </w:instrText>
      </w:r>
      <w:r>
        <w:rPr>
          <w:rFonts w:hint="eastAsia" w:ascii="黑体" w:hAnsi="黑体" w:eastAsia="黑体" w:cs="黑体"/>
        </w:rPr>
        <w:fldChar w:fldCharType="separate"/>
      </w:r>
      <w:r>
        <w:rPr>
          <w:rFonts w:hint="eastAsia" w:ascii="黑体" w:hAnsi="黑体" w:eastAsia="黑体" w:cs="黑体"/>
        </w:rPr>
        <w:t>（五）</w:t>
      </w:r>
      <w:r>
        <w:rPr>
          <w:rFonts w:hint="eastAsia" w:ascii="黑体" w:hAnsi="黑体" w:eastAsia="黑体" w:cs="黑体"/>
          <w:lang w:val="en-US" w:eastAsia="zh-CN"/>
        </w:rPr>
        <w:t>企业获奖</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_Toc4314 \h </w:instrText>
      </w:r>
      <w:r>
        <w:rPr>
          <w:rFonts w:hint="eastAsia" w:ascii="黑体" w:hAnsi="黑体" w:eastAsia="黑体" w:cs="黑体"/>
        </w:rPr>
        <w:fldChar w:fldCharType="separate"/>
      </w:r>
      <w:r>
        <w:rPr>
          <w:rFonts w:hint="eastAsia" w:ascii="黑体" w:hAnsi="黑体" w:eastAsia="黑体" w:cs="黑体"/>
        </w:rPr>
        <w:t>80</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_Toc20518 </w:instrText>
      </w:r>
      <w:r>
        <w:rPr>
          <w:rFonts w:hint="eastAsia" w:ascii="黑体" w:hAnsi="黑体" w:eastAsia="黑体" w:cs="黑体"/>
        </w:rPr>
        <w:fldChar w:fldCharType="separate"/>
      </w:r>
      <w:r>
        <w:rPr>
          <w:rFonts w:hint="eastAsia" w:ascii="黑体" w:hAnsi="黑体" w:eastAsia="黑体" w:cs="黑体"/>
        </w:rPr>
        <w:t>（六）企业</w:t>
      </w:r>
      <w:r>
        <w:rPr>
          <w:rFonts w:hint="eastAsia" w:ascii="黑体" w:hAnsi="黑体" w:eastAsia="黑体" w:cs="黑体"/>
          <w:lang w:val="en-US" w:eastAsia="zh-CN"/>
        </w:rPr>
        <w:t>各类证书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_Toc20518 \h </w:instrText>
      </w:r>
      <w:r>
        <w:rPr>
          <w:rFonts w:hint="eastAsia" w:ascii="黑体" w:hAnsi="黑体" w:eastAsia="黑体" w:cs="黑体"/>
        </w:rPr>
        <w:fldChar w:fldCharType="separate"/>
      </w:r>
      <w:r>
        <w:rPr>
          <w:rFonts w:hint="eastAsia" w:ascii="黑体" w:hAnsi="黑体" w:eastAsia="黑体" w:cs="黑体"/>
        </w:rPr>
        <w:t>81</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_Toc25533 </w:instrText>
      </w:r>
      <w:r>
        <w:rPr>
          <w:rFonts w:hint="eastAsia" w:ascii="黑体" w:hAnsi="黑体" w:eastAsia="黑体" w:cs="黑体"/>
        </w:rPr>
        <w:fldChar w:fldCharType="separate"/>
      </w:r>
      <w:r>
        <w:rPr>
          <w:rFonts w:hint="eastAsia" w:ascii="黑体" w:hAnsi="黑体" w:eastAsia="黑体" w:cs="黑体"/>
        </w:rPr>
        <w:t>（</w:t>
      </w:r>
      <w:r>
        <w:rPr>
          <w:rFonts w:hint="eastAsia" w:ascii="黑体" w:hAnsi="黑体" w:eastAsia="黑体" w:cs="黑体"/>
          <w:lang w:val="en-US" w:eastAsia="zh-CN"/>
        </w:rPr>
        <w:t>七</w:t>
      </w:r>
      <w:r>
        <w:rPr>
          <w:rFonts w:hint="eastAsia" w:ascii="黑体" w:hAnsi="黑体" w:eastAsia="黑体" w:cs="黑体"/>
        </w:rPr>
        <w:t>）拟委任的主要人员汇总表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_Toc25533 \h </w:instrText>
      </w:r>
      <w:r>
        <w:rPr>
          <w:rFonts w:hint="eastAsia" w:ascii="黑体" w:hAnsi="黑体" w:eastAsia="黑体" w:cs="黑体"/>
        </w:rPr>
        <w:fldChar w:fldCharType="separate"/>
      </w:r>
      <w:r>
        <w:rPr>
          <w:rFonts w:hint="eastAsia" w:ascii="黑体" w:hAnsi="黑体" w:eastAsia="黑体" w:cs="黑体"/>
        </w:rPr>
        <w:t>82</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_Toc10677 </w:instrText>
      </w:r>
      <w:r>
        <w:rPr>
          <w:rFonts w:hint="eastAsia" w:ascii="黑体" w:hAnsi="黑体" w:eastAsia="黑体" w:cs="黑体"/>
        </w:rPr>
        <w:fldChar w:fldCharType="separate"/>
      </w:r>
      <w:r>
        <w:rPr>
          <w:rFonts w:hint="eastAsia" w:ascii="黑体" w:hAnsi="黑体" w:eastAsia="黑体" w:cs="黑体"/>
        </w:rPr>
        <w:t>（</w:t>
      </w:r>
      <w:r>
        <w:rPr>
          <w:rFonts w:hint="eastAsia" w:ascii="黑体" w:hAnsi="黑体" w:eastAsia="黑体" w:cs="黑体"/>
          <w:lang w:val="en-US" w:eastAsia="zh-CN"/>
        </w:rPr>
        <w:t>八</w:t>
      </w:r>
      <w:r>
        <w:rPr>
          <w:rFonts w:hint="eastAsia" w:ascii="黑体" w:hAnsi="黑体" w:eastAsia="黑体" w:cs="黑体"/>
        </w:rPr>
        <w:t>）主要人员简历表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_Toc10677 \h </w:instrText>
      </w:r>
      <w:r>
        <w:rPr>
          <w:rFonts w:hint="eastAsia" w:ascii="黑体" w:hAnsi="黑体" w:eastAsia="黑体" w:cs="黑体"/>
        </w:rPr>
        <w:fldChar w:fldCharType="separate"/>
      </w:r>
      <w:r>
        <w:rPr>
          <w:rFonts w:hint="eastAsia" w:ascii="黑体" w:hAnsi="黑体" w:eastAsia="黑体" w:cs="黑体"/>
        </w:rPr>
        <w:t>84</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_Toc13828 </w:instrText>
      </w:r>
      <w:r>
        <w:rPr>
          <w:rFonts w:hint="eastAsia" w:ascii="黑体" w:hAnsi="黑体" w:eastAsia="黑体" w:cs="黑体"/>
        </w:rPr>
        <w:fldChar w:fldCharType="separate"/>
      </w:r>
      <w:r>
        <w:rPr>
          <w:rFonts w:hint="eastAsia" w:ascii="黑体" w:hAnsi="黑体" w:eastAsia="黑体" w:cs="黑体"/>
        </w:rPr>
        <w:t>（</w:t>
      </w:r>
      <w:r>
        <w:rPr>
          <w:rFonts w:hint="eastAsia" w:ascii="黑体" w:hAnsi="黑体" w:eastAsia="黑体" w:cs="黑体"/>
          <w:lang w:val="en-US" w:eastAsia="zh-CN"/>
        </w:rPr>
        <w:t>九</w:t>
      </w:r>
      <w:r>
        <w:rPr>
          <w:rFonts w:hint="eastAsia" w:ascii="黑体" w:hAnsi="黑体" w:eastAsia="黑体" w:cs="黑体"/>
        </w:rPr>
        <w:t>）拟投入本项目的主要试验检测仪器设备表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_Toc13828 \h </w:instrText>
      </w:r>
      <w:r>
        <w:rPr>
          <w:rFonts w:hint="eastAsia" w:ascii="黑体" w:hAnsi="黑体" w:eastAsia="黑体" w:cs="黑体"/>
        </w:rPr>
        <w:fldChar w:fldCharType="separate"/>
      </w:r>
      <w:r>
        <w:rPr>
          <w:rFonts w:hint="eastAsia" w:ascii="黑体" w:hAnsi="黑体" w:eastAsia="黑体" w:cs="黑体"/>
        </w:rPr>
        <w:t>86</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_Toc5408 </w:instrText>
      </w:r>
      <w:r>
        <w:rPr>
          <w:rFonts w:hint="eastAsia" w:ascii="黑体" w:hAnsi="黑体" w:eastAsia="黑体" w:cs="黑体"/>
        </w:rPr>
        <w:fldChar w:fldCharType="separate"/>
      </w:r>
      <w:r>
        <w:rPr>
          <w:rFonts w:hint="eastAsia" w:ascii="黑体" w:hAnsi="黑体" w:eastAsia="黑体" w:cs="黑体"/>
        </w:rPr>
        <w:t>七、监理大纲</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_Toc5408 \h </w:instrText>
      </w:r>
      <w:r>
        <w:rPr>
          <w:rFonts w:hint="eastAsia" w:ascii="黑体" w:hAnsi="黑体" w:eastAsia="黑体" w:cs="黑体"/>
        </w:rPr>
        <w:fldChar w:fldCharType="separate"/>
      </w:r>
      <w:r>
        <w:rPr>
          <w:rFonts w:hint="eastAsia" w:ascii="黑体" w:hAnsi="黑体" w:eastAsia="黑体" w:cs="黑体"/>
        </w:rPr>
        <w:t>87</w:t>
      </w:r>
      <w:r>
        <w:rPr>
          <w:rFonts w:hint="eastAsia" w:ascii="黑体" w:hAnsi="黑体" w:eastAsia="黑体" w:cs="黑体"/>
        </w:rPr>
        <w:fldChar w:fldCharType="end"/>
      </w:r>
      <w:r>
        <w:rPr>
          <w:rFonts w:hint="eastAsia" w:ascii="黑体" w:hAnsi="黑体" w:eastAsia="黑体" w:cs="黑体"/>
        </w:rPr>
        <w:fldChar w:fldCharType="end"/>
      </w:r>
    </w:p>
    <w:p>
      <w:pPr>
        <w:pStyle w:val="30"/>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_Toc20386 </w:instrText>
      </w:r>
      <w:r>
        <w:rPr>
          <w:rFonts w:hint="eastAsia" w:ascii="黑体" w:hAnsi="黑体" w:eastAsia="黑体" w:cs="黑体"/>
        </w:rPr>
        <w:fldChar w:fldCharType="separate"/>
      </w:r>
      <w:r>
        <w:rPr>
          <w:rFonts w:hint="eastAsia" w:ascii="黑体" w:hAnsi="黑体" w:eastAsia="黑体" w:cs="黑体"/>
        </w:rPr>
        <w:t>八、</w:t>
      </w:r>
      <w:r>
        <w:rPr>
          <w:rFonts w:hint="eastAsia" w:ascii="黑体" w:hAnsi="黑体" w:eastAsia="黑体" w:cs="黑体"/>
          <w:lang w:val="en-US" w:eastAsia="zh-CN"/>
        </w:rPr>
        <w:t>投标人须知前附表规定的</w:t>
      </w:r>
      <w:r>
        <w:rPr>
          <w:rFonts w:hint="eastAsia" w:ascii="黑体" w:hAnsi="黑体" w:eastAsia="黑体" w:cs="黑体"/>
        </w:rPr>
        <w:t>其他资料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_Toc20386 \h </w:instrText>
      </w:r>
      <w:r>
        <w:rPr>
          <w:rFonts w:hint="eastAsia" w:ascii="黑体" w:hAnsi="黑体" w:eastAsia="黑体" w:cs="黑体"/>
        </w:rPr>
        <w:fldChar w:fldCharType="separate"/>
      </w:r>
      <w:r>
        <w:rPr>
          <w:rFonts w:hint="eastAsia" w:ascii="黑体" w:hAnsi="黑体" w:eastAsia="黑体" w:cs="黑体"/>
        </w:rPr>
        <w:t>88</w:t>
      </w:r>
      <w:r>
        <w:rPr>
          <w:rFonts w:hint="eastAsia" w:ascii="黑体" w:hAnsi="黑体" w:eastAsia="黑体" w:cs="黑体"/>
        </w:rPr>
        <w:fldChar w:fldCharType="end"/>
      </w:r>
      <w:r>
        <w:rPr>
          <w:rFonts w:hint="eastAsia" w:ascii="黑体" w:hAnsi="黑体" w:eastAsia="黑体" w:cs="黑体"/>
        </w:rPr>
        <w:fldChar w:fldCharType="end"/>
      </w:r>
    </w:p>
    <w:p>
      <w:pPr>
        <w:rPr>
          <w:rFonts w:ascii="Times New Roman" w:hAnsi="Times New Roman"/>
        </w:rPr>
      </w:pPr>
      <w:r>
        <w:rPr>
          <w:rFonts w:hint="eastAsia" w:ascii="黑体" w:hAnsi="黑体" w:eastAsia="黑体" w:cs="黑体"/>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0"/>
        <w:rPr>
          <w:rFonts w:hint="eastAsia" w:ascii="黑体" w:eastAsia="黑体"/>
          <w:sz w:val="32"/>
          <w:szCs w:val="32"/>
        </w:rPr>
      </w:pPr>
      <w:r>
        <w:rPr>
          <w:color w:val="000000"/>
        </w:rPr>
        <w:br w:type="page"/>
      </w:r>
      <w:bookmarkEnd w:id="0"/>
      <w:bookmarkEnd w:id="1"/>
      <w:bookmarkEnd w:id="2"/>
      <w:bookmarkStart w:id="3" w:name="_Toc2518"/>
      <w:r>
        <w:rPr>
          <w:rFonts w:hint="eastAsia" w:ascii="黑体" w:eastAsia="黑体"/>
          <w:sz w:val="32"/>
          <w:szCs w:val="32"/>
        </w:rPr>
        <w:t>第一章  招标公告</w:t>
      </w:r>
      <w:bookmarkEnd w:id="3"/>
    </w:p>
    <w:p>
      <w:pPr>
        <w:ind w:firstLine="435"/>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rPr>
      </w:pPr>
      <w:r>
        <w:rPr>
          <w:rFonts w:hint="eastAsia"/>
          <w:sz w:val="24"/>
          <w:u w:val="single"/>
          <w:lang w:val="en-US" w:eastAsia="zh-CN"/>
        </w:rPr>
        <w:t xml:space="preserve">         </w:t>
      </w:r>
      <w:r>
        <w:rPr>
          <w:rFonts w:hint="eastAsia"/>
          <w:sz w:val="24"/>
          <w:u w:val="single"/>
        </w:rPr>
        <w:t xml:space="preserve">(项目名称)       </w:t>
      </w:r>
      <w:r>
        <w:rPr>
          <w:rFonts w:hint="eastAsia" w:ascii="黑体" w:eastAsia="黑体"/>
          <w:sz w:val="24"/>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本招标项目</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(项目名称)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已由</w:t>
      </w:r>
      <w:r>
        <w:rPr>
          <w:rFonts w:hint="eastAsia" w:ascii="Times New Roman" w:hAnsi="Times New Roman" w:eastAsia="宋体" w:cs="Times New Roman"/>
          <w:u w:val="single"/>
        </w:rPr>
        <w:t xml:space="preserve">   (项目审批、核准或备案机关名称)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以</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(批文名称及编号)</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批准建设，招标人为</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建设单位</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，建设资金来自</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(资金来源)</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2.1项目名称：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2.2建设地点：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2.3招标规模：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2.4标段划分：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标段编号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标段名称</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企业资质要求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人员资质要求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监理服务期</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合同估算价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招标内容</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highlight w:val="none"/>
          <w:u w:val="single"/>
        </w:rPr>
      </w:pPr>
      <w:r>
        <w:rPr>
          <w:rFonts w:hint="eastAsia" w:ascii="Times New Roman" w:hAnsi="Times New Roman" w:eastAsia="宋体" w:cs="Times New Roman"/>
          <w:highlight w:val="none"/>
          <w:u w:val="none"/>
        </w:rPr>
        <w:t>3.1本次招标</w:t>
      </w:r>
      <w:r>
        <w:rPr>
          <w:rFonts w:hint="eastAsia" w:ascii="Times New Roman" w:hAnsi="Times New Roman" w:eastAsia="宋体" w:cs="Times New Roman"/>
          <w:highlight w:val="none"/>
          <w:u w:val="single"/>
        </w:rPr>
        <w:t xml:space="preserve">   (接受或不接受)</w:t>
      </w:r>
      <w:r>
        <w:rPr>
          <w:rFonts w:hint="eastAsia" w:ascii="Times New Roman" w:hAnsi="Times New Roman" w:eastAsia="宋体" w:cs="Times New Roman"/>
          <w:highlight w:val="none"/>
          <w:u w:val="single"/>
          <w:lang w:val="en-US" w:eastAsia="zh-CN"/>
        </w:rPr>
        <w:t xml:space="preserve">   </w:t>
      </w:r>
      <w:r>
        <w:rPr>
          <w:rFonts w:hint="eastAsia" w:ascii="Times New Roman" w:hAnsi="Times New Roman" w:eastAsia="宋体" w:cs="Times New Roman"/>
          <w:highlight w:val="none"/>
          <w:u w:val="none"/>
        </w:rPr>
        <w:t>联合体投标。联合体投标的，应满足下列要求：</w:t>
      </w:r>
      <w:r>
        <w:rPr>
          <w:rFonts w:hint="eastAsia" w:ascii="Times New Roman" w:hAnsi="Times New Roman" w:eastAsia="宋体" w:cs="Times New Roman"/>
          <w:highlight w:val="none"/>
          <w:u w:val="single"/>
        </w:rPr>
        <w:t xml:space="preserve">                                  </w:t>
      </w:r>
      <w:r>
        <w:rPr>
          <w:rFonts w:hint="eastAsia" w:ascii="Times New Roman" w:hAnsi="Times New Roman" w:eastAsia="宋体" w:cs="Times New Roman"/>
          <w:highlight w:val="none"/>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rPr>
        <w:t>3.</w:t>
      </w:r>
      <w:r>
        <w:rPr>
          <w:rFonts w:hint="eastAsia" w:ascii="Times New Roman" w:hAnsi="Times New Roman" w:eastAsia="宋体" w:cs="Times New Roman"/>
          <w:u w:val="none"/>
          <w:lang w:val="en-US" w:eastAsia="zh-CN"/>
        </w:rPr>
        <w:t>2其他要求：</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lang w:val="en-US" w:eastAsia="zh-CN"/>
        </w:rPr>
        <w:t>4</w:t>
      </w:r>
      <w:r>
        <w:rPr>
          <w:rFonts w:hint="eastAsia" w:ascii="黑体" w:hAnsi="Times New Roman" w:eastAsia="黑体" w:cs="Times New Roman"/>
          <w:sz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凡有意参加投标者，请于</w:t>
      </w:r>
      <w:r>
        <w:rPr>
          <w:rFonts w:hint="eastAsia" w:ascii="宋体" w:hAnsi="宋体" w:eastAsia="宋体" w:cs="宋体"/>
          <w:color w:val="auto"/>
          <w:u w:val="single"/>
          <w:lang w:val="en-US" w:eastAsia="zh-CN"/>
        </w:rPr>
        <w:t xml:space="preserve">    年  月  日  时至    年  月  日  时  分</w:t>
      </w:r>
      <w:r>
        <w:rPr>
          <w:rFonts w:hint="eastAsia" w:ascii="宋体" w:hAnsi="宋体" w:eastAsia="宋体" w:cs="宋体"/>
          <w:color w:val="auto"/>
          <w:u w:val="none"/>
          <w:lang w:val="en-US" w:eastAsia="zh-CN"/>
        </w:rPr>
        <w:t>（北京时间，下同)，登录</w:t>
      </w:r>
      <w:r>
        <w:rPr>
          <w:rFonts w:hint="eastAsia" w:ascii="宋体" w:hAnsi="宋体" w:eastAsia="宋体" w:cs="宋体"/>
          <w:b w:val="0"/>
          <w:bCs w:val="0"/>
          <w:color w:val="auto"/>
          <w:u w:val="none"/>
          <w:lang w:val="en-US" w:eastAsia="zh-CN"/>
        </w:rPr>
        <w:t>呼和浩特市公共资源交易平台</w:t>
      </w:r>
      <w:r>
        <w:rPr>
          <w:rFonts w:hint="eastAsia" w:ascii="宋体" w:hAnsi="宋体" w:eastAsia="宋体" w:cs="宋体"/>
          <w:color w:val="auto"/>
          <w:u w:val="none"/>
          <w:lang w:val="en-US" w:eastAsia="zh-CN"/>
        </w:rPr>
        <w:t>免费下载电子招标文件，图纸等其他文件的领取详见招标文件下载页面。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lang w:val="en-US" w:eastAsia="zh-CN"/>
        </w:rPr>
      </w:pPr>
      <w:r>
        <w:rPr>
          <w:rFonts w:hint="eastAsia" w:ascii="黑体" w:hAnsi="Times New Roman" w:eastAsia="黑体" w:cs="Times New Roman"/>
          <w:sz w:val="24"/>
          <w:lang w:val="en-US" w:eastAsia="zh-CN"/>
        </w:rPr>
        <w:t>5.投标文件的递交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5.1投标文件递交的截止时间（投标截止时间，下同）为</w:t>
      </w:r>
      <w:r>
        <w:rPr>
          <w:rFonts w:hint="eastAsia" w:ascii="宋体" w:hAnsi="宋体" w:eastAsia="宋体" w:cs="宋体"/>
          <w:color w:val="auto"/>
          <w:u w:val="single"/>
          <w:lang w:val="en-US" w:eastAsia="zh-CN"/>
        </w:rPr>
        <w:t xml:space="preserve">    年  月  日  时  分</w:t>
      </w:r>
      <w:r>
        <w:rPr>
          <w:rFonts w:hint="eastAsia" w:ascii="宋体" w:hAnsi="宋体" w:eastAsia="宋体" w:cs="宋体"/>
          <w:color w:val="auto"/>
          <w:u w:val="none"/>
          <w:lang w:val="en-US" w:eastAsia="zh-CN"/>
        </w:rPr>
        <w:t>，投标人应在截止时间前通过呼和浩特市公共资源交易平台递交电子投标文件。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5.2 逾期送达的投标文件，呼和浩特市公共资源交易平台将予以拒收。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6</w:t>
      </w:r>
      <w:r>
        <w:rPr>
          <w:rFonts w:hint="eastAsia" w:ascii="黑体" w:eastAsia="黑体"/>
          <w:sz w:val="24"/>
        </w:rPr>
        <w:t>.发布</w:t>
      </w:r>
      <w:r>
        <w:rPr>
          <w:rFonts w:hint="eastAsia" w:ascii="黑体" w:hAnsi="Times New Roman" w:eastAsia="黑体" w:cs="Times New Roman"/>
          <w:sz w:val="24"/>
          <w:lang w:val="en-US" w:eastAsia="zh-CN"/>
        </w:rPr>
        <w:t>公告</w:t>
      </w:r>
      <w:r>
        <w:rPr>
          <w:rFonts w:hint="eastAsia" w:ascii="黑体" w:eastAsia="黑体"/>
          <w:sz w:val="24"/>
        </w:rPr>
        <w:t>的媒介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6.1呼和浩特市公共资源交易服务平台（http://42.123.92.182:9010）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6.2内蒙古自治区公共资源交易网（http://ggzyjy.nmg.gov.cn）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6.3中国招标投标公共服务平台（http://www.cebpubservice.com）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6.4内蒙古招标投标公共服务平台（http://www.nmgztb.com.cn）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eastAsia="黑体"/>
          <w:sz w:val="24"/>
          <w:lang w:val="en-US" w:eastAsia="zh-CN"/>
        </w:rPr>
      </w:pPr>
      <w:r>
        <w:rPr>
          <w:rFonts w:hint="eastAsia" w:ascii="黑体" w:eastAsia="黑体"/>
          <w:sz w:val="24"/>
          <w:lang w:val="en-US" w:eastAsia="zh-CN"/>
        </w:rPr>
        <w:t>7</w:t>
      </w:r>
      <w:r>
        <w:rPr>
          <w:rFonts w:hint="eastAsia" w:ascii="黑体" w:eastAsia="黑体"/>
          <w:sz w:val="24"/>
        </w:rPr>
        <w:t>.</w:t>
      </w:r>
      <w:r>
        <w:rPr>
          <w:rFonts w:hint="eastAsia" w:ascii="黑体" w:eastAsia="黑体"/>
          <w:sz w:val="24"/>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7.1本项目采用呼和浩特市公共资源交易平台进行招标，请登录交易平台进行入库、投标操作，具体操作手册详见呼和浩特市公共资源交易服务平台</w:t>
      </w:r>
      <w:r>
        <w:rPr>
          <w:rFonts w:hint="eastAsia" w:ascii="宋体" w:hAnsi="宋体" w:eastAsia="宋体" w:cs="宋体"/>
          <w:color w:val="auto"/>
          <w:u w:val="none"/>
          <w:lang w:val="en-US" w:eastAsia="zh-CN"/>
        </w:rPr>
        <w:t>“操作手册”</w:t>
      </w:r>
      <w:r>
        <w:rPr>
          <w:rFonts w:hint="eastAsia" w:ascii="Times New Roman" w:hAnsi="Times New Roman" w:eastAsia="宋体" w:cs="Times New Roman"/>
          <w:color w:val="auto"/>
          <w:u w:val="none"/>
          <w:lang w:val="en-US" w:eastAsia="zh-CN"/>
        </w:rPr>
        <w:t>栏目下载查看。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color w:val="auto"/>
          <w:u w:val="none"/>
          <w:lang w:val="en-US" w:eastAsia="zh-CN"/>
        </w:rPr>
        <w:t>7.2本项目采用呼和浩特市不见面开标大厅进行开标，投标人无需到达开标现场，开</w:t>
      </w:r>
      <w:r>
        <w:rPr>
          <w:rFonts w:hint="eastAsia" w:ascii="Times New Roman" w:hAnsi="Times New Roman" w:eastAsia="宋体" w:cs="Times New Roman"/>
          <w:u w:val="none"/>
          <w:lang w:val="en-US" w:eastAsia="zh-CN"/>
        </w:rPr>
        <w:t>标当日在投标截止时间前登录</w:t>
      </w:r>
      <w:r>
        <w:rPr>
          <w:rFonts w:hint="eastAsia" w:ascii="Times New Roman" w:hAnsi="Times New Roman" w:eastAsia="宋体" w:cs="Times New Roman"/>
          <w:color w:val="auto"/>
          <w:u w:val="none"/>
          <w:lang w:val="en-US" w:eastAsia="zh-CN"/>
        </w:rPr>
        <w:t>呼和浩特市不见面开标大厅</w:t>
      </w:r>
      <w:r>
        <w:rPr>
          <w:rFonts w:hint="eastAsia" w:ascii="Times New Roman" w:hAnsi="Times New Roman" w:eastAsia="宋体" w:cs="Times New Roman"/>
          <w:u w:val="none"/>
          <w:lang w:val="en-US" w:eastAsia="zh-CN"/>
        </w:rPr>
        <w:t>在线参加开标会议。登录时使用呼和浩特市公共资源交易平台的CA锁或标证通移动证书。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8</w:t>
      </w:r>
      <w:r>
        <w:rPr>
          <w:rFonts w:hint="eastAsia" w:ascii="黑体" w:eastAsia="黑体"/>
          <w:sz w:val="24"/>
        </w:rPr>
        <w:t>.</w:t>
      </w:r>
      <w:r>
        <w:rPr>
          <w:rFonts w:hint="eastAsia" w:ascii="黑体" w:hAnsi="Times New Roman" w:eastAsia="黑体" w:cs="Times New Roman"/>
          <w:sz w:val="24"/>
          <w:lang w:val="en-US" w:eastAsia="zh-CN"/>
        </w:rPr>
        <w:t>联系</w:t>
      </w:r>
      <w:r>
        <w:rPr>
          <w:rFonts w:hint="eastAsia" w:ascii="黑体" w:eastAsia="黑体"/>
          <w:sz w:val="24"/>
        </w:rPr>
        <w:t>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 标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招标代理：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行业监管：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综合监管：呼和浩特市公共资源交易监督管理局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址：内蒙古自治区呼和浩特市新城区丁香路2号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ascii="Times New Roman" w:hAnsi="Times New Roman" w:eastAsia="宋体" w:cs="Times New Roman"/>
          <w:u w:val="none"/>
          <w:lang w:val="en-US" w:eastAsia="zh-CN"/>
        </w:rPr>
        <w:t>联系电话：0471-5988101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rPr>
      </w:pPr>
      <w:r>
        <w:rPr>
          <w:rFonts w:hint="eastAsia"/>
        </w:rPr>
        <w:t xml:space="preserve">  </w:t>
      </w:r>
      <w:r>
        <w:rPr>
          <w:rFonts w:hint="eastAsia"/>
          <w:u w:val="single"/>
        </w:rPr>
        <w:t xml:space="preserve">        年      月       日</w:t>
      </w:r>
    </w:p>
    <w:p>
      <w:pPr>
        <w:spacing w:line="380" w:lineRule="exact"/>
        <w:ind w:firstLine="435"/>
        <w:jc w:val="right"/>
        <w:rPr>
          <w:rFonts w:hint="eastAsia"/>
          <w:u w:val="single"/>
        </w:rPr>
      </w:pPr>
      <w:r>
        <w:rPr>
          <w:rFonts w:ascii="黑体" w:eastAsia="黑体"/>
          <w:sz w:val="28"/>
          <w:szCs w:val="28"/>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000000"/>
          <w:sz w:val="32"/>
          <w:szCs w:val="32"/>
        </w:rPr>
      </w:pPr>
      <w:bookmarkStart w:id="4" w:name="_Toc32319"/>
      <w:r>
        <w:rPr>
          <w:rFonts w:hint="eastAsia" w:ascii="黑体" w:hAnsi="黑体" w:eastAsia="黑体" w:cs="黑体"/>
          <w:color w:val="000000"/>
          <w:sz w:val="32"/>
          <w:szCs w:val="32"/>
        </w:rPr>
        <w:t>第二章投标人须知</w:t>
      </w:r>
      <w:bookmarkEnd w:id="4"/>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b w:val="0"/>
          <w:bCs/>
          <w:color w:val="000000"/>
          <w:sz w:val="24"/>
          <w:szCs w:val="24"/>
        </w:rPr>
      </w:pPr>
      <w:bookmarkStart w:id="5" w:name="_Toc17332"/>
      <w:bookmarkStart w:id="775" w:name="_GoBack"/>
      <w:bookmarkEnd w:id="775"/>
      <w:r>
        <w:rPr>
          <w:rFonts w:ascii="Times New Roman" w:hAnsi="Times New Roman"/>
          <w:b w:val="0"/>
          <w:bCs/>
          <w:color w:val="000000"/>
          <w:sz w:val="24"/>
          <w:szCs w:val="24"/>
        </w:rPr>
        <w:t>投标人须知前附表</w:t>
      </w:r>
      <w:bookmarkEnd w:id="5"/>
    </w:p>
    <w:tbl>
      <w:tblPr>
        <w:tblStyle w:val="37"/>
        <w:tblW w:w="9322" w:type="dxa"/>
        <w:jc w:val="center"/>
        <w:tblLayout w:type="fixed"/>
        <w:tblCellMar>
          <w:top w:w="0" w:type="dxa"/>
          <w:left w:w="108" w:type="dxa"/>
          <w:bottom w:w="0" w:type="dxa"/>
          <w:right w:w="108" w:type="dxa"/>
        </w:tblCellMar>
      </w:tblPr>
      <w:tblGrid>
        <w:gridCol w:w="995"/>
        <w:gridCol w:w="2730"/>
        <w:gridCol w:w="5597"/>
      </w:tblGrid>
      <w:tr>
        <w:tblPrEx>
          <w:tblCellMar>
            <w:top w:w="0" w:type="dxa"/>
            <w:left w:w="108" w:type="dxa"/>
            <w:bottom w:w="0" w:type="dxa"/>
            <w:right w:w="108" w:type="dxa"/>
          </w:tblCellMar>
        </w:tblPrEx>
        <w:trPr>
          <w:tblHeade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b/>
                <w:color w:val="000000"/>
              </w:rPr>
            </w:pPr>
            <w:r>
              <w:rPr>
                <w:rFonts w:ascii="Times New Roman" w:hAnsi="Times New Roman"/>
                <w:b/>
                <w:color w:val="000000"/>
              </w:rPr>
              <w:t>条款号</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b/>
                <w:color w:val="000000"/>
              </w:rPr>
            </w:pPr>
            <w:r>
              <w:rPr>
                <w:rFonts w:ascii="Times New Roman" w:hAnsi="Times New Roman"/>
                <w:b/>
                <w:color w:val="000000"/>
              </w:rPr>
              <w:t>条款名称</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招标人</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名称：</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地址：</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联系人：</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电话：</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招标代理机构</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名称：</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地址：</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联系人：</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rPr>
            </w:pPr>
            <w:r>
              <w:rPr>
                <w:rFonts w:hint="eastAsia" w:ascii="Times New Roman" w:hAnsi="Times New Roman"/>
                <w:color w:val="000000"/>
              </w:rPr>
              <w:t>电话：</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1.1.4</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hint="eastAsia" w:ascii="Times New Roman" w:hAnsi="Times New Roman"/>
                <w:color w:val="000000"/>
                <w:lang w:val="en-US" w:eastAsia="zh-CN"/>
              </w:rPr>
              <w:t>招标</w:t>
            </w:r>
            <w:r>
              <w:rPr>
                <w:rFonts w:ascii="Times New Roman" w:hAnsi="Times New Roman"/>
                <w:color w:val="000000"/>
              </w:rPr>
              <w:t>项目名称</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1.1.5</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项目建设地点</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1.1.6</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项目建设规模</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1.1.7</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工程项目施工预计开工日期和建设周期</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1.1.8</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rPr>
              <w:t>建筑安装工程费/工程概算</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1.2.1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资金来源及比例</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1.2.2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资金落实情况</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1.3.1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招标范围</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1.3.2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监理服务期限</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1.3.3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质量标准</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1.4.1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投标人资质条件、能力、信誉</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autoSpaceDE w:val="0"/>
              <w:autoSpaceDN w:val="0"/>
              <w:bidi w:val="0"/>
              <w:adjustRightInd w:val="0"/>
              <w:snapToGrid w:val="0"/>
              <w:spacing w:before="143" w:beforeLines="50" w:after="143" w:afterLines="50" w:line="240" w:lineRule="auto"/>
              <w:ind w:firstLine="420" w:firstLineChars="200"/>
              <w:textAlignment w:val="auto"/>
              <w:rPr>
                <w:rFonts w:hint="eastAsia" w:ascii="宋体" w:hAnsi="宋体"/>
                <w:szCs w:val="21"/>
              </w:rPr>
            </w:pPr>
            <w:r>
              <w:rPr>
                <w:rFonts w:ascii="宋体" w:hAnsi="宋体"/>
                <w:szCs w:val="21"/>
              </w:rPr>
              <w:t>本</w:t>
            </w:r>
            <w:r>
              <w:rPr>
                <w:rFonts w:hint="eastAsia" w:ascii="宋体" w:hAnsi="宋体"/>
                <w:szCs w:val="21"/>
                <w:lang w:val="en-US" w:eastAsia="zh-CN"/>
              </w:rPr>
              <w:t>项目</w:t>
            </w:r>
            <w:r>
              <w:rPr>
                <w:rFonts w:ascii="宋体" w:hAnsi="宋体"/>
                <w:szCs w:val="21"/>
              </w:rPr>
              <w:t>资质设置严格按照</w:t>
            </w:r>
            <w:r>
              <w:rPr>
                <w:rFonts w:hint="eastAsia" w:ascii="宋体" w:hAnsi="宋体"/>
                <w:szCs w:val="21"/>
                <w:lang w:val="en-US" w:eastAsia="zh-CN"/>
              </w:rPr>
              <w:t>国家、自治区、和市级现行有效文件执行</w:t>
            </w:r>
            <w:r>
              <w:rPr>
                <w:rFonts w:ascii="宋体" w:hAnsi="宋体"/>
                <w:szCs w:val="21"/>
              </w:rPr>
              <w:t>。</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ind w:firstLine="420" w:firstLineChars="200"/>
              <w:textAlignment w:val="auto"/>
              <w:rPr>
                <w:rFonts w:ascii="宋体" w:hAnsi="宋体"/>
                <w:szCs w:val="21"/>
              </w:rPr>
            </w:pPr>
            <w:r>
              <w:rPr>
                <w:rFonts w:ascii="宋体" w:hAnsi="宋体"/>
                <w:szCs w:val="21"/>
              </w:rPr>
              <w:t>本</w:t>
            </w:r>
            <w:r>
              <w:rPr>
                <w:rFonts w:hint="eastAsia" w:ascii="宋体" w:hAnsi="宋体"/>
                <w:szCs w:val="21"/>
                <w:lang w:val="en-US" w:eastAsia="zh-CN"/>
              </w:rPr>
              <w:t>项目监理</w:t>
            </w:r>
            <w:r>
              <w:rPr>
                <w:rFonts w:ascii="宋体" w:hAnsi="宋体"/>
                <w:szCs w:val="21"/>
              </w:rPr>
              <w:t>招标实行资格后审，投标人应具备以下资格条件：</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ascii="宋体" w:hAnsi="宋体"/>
                <w:b/>
                <w:szCs w:val="21"/>
              </w:rPr>
            </w:pPr>
            <w:r>
              <w:rPr>
                <w:rFonts w:ascii="宋体" w:hAnsi="宋体"/>
                <w:b/>
                <w:szCs w:val="21"/>
              </w:rPr>
              <w:t>1.资质条件、营业执照</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hint="eastAsia" w:ascii="宋体" w:hAnsi="宋体"/>
                <w:szCs w:val="21"/>
                <w:u w:val="single"/>
                <w:lang w:val="en-US" w:eastAsia="zh-CN"/>
              </w:rPr>
            </w:pPr>
            <w:r>
              <w:rPr>
                <w:rFonts w:ascii="宋体" w:hAnsi="宋体"/>
                <w:szCs w:val="21"/>
              </w:rPr>
              <w:t>（1）具备建设行政主管部门颁发的有效的</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ascii="宋体" w:hAnsi="宋体"/>
                <w:szCs w:val="21"/>
              </w:rPr>
            </w:pP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ascii="宋体" w:hAnsi="宋体"/>
                <w:szCs w:val="21"/>
              </w:rPr>
            </w:pPr>
            <w:r>
              <w:rPr>
                <w:rFonts w:ascii="宋体" w:hAnsi="宋体"/>
                <w:szCs w:val="21"/>
              </w:rPr>
              <w:t>（2）具备有效的营业执照。</w:t>
            </w:r>
          </w:p>
          <w:p>
            <w:pPr>
              <w:keepNext w:val="0"/>
              <w:keepLines w:val="0"/>
              <w:pageBreakBefore w:val="0"/>
              <w:kinsoku/>
              <w:wordWrap/>
              <w:overflowPunct/>
              <w:bidi w:val="0"/>
              <w:adjustRightInd w:val="0"/>
              <w:snapToGrid w:val="0"/>
              <w:spacing w:before="143" w:beforeLines="50" w:after="143" w:afterLines="50" w:line="240" w:lineRule="auto"/>
              <w:textAlignment w:val="auto"/>
              <w:rPr>
                <w:rFonts w:ascii="宋体" w:hAnsi="宋体"/>
                <w:b/>
                <w:szCs w:val="21"/>
              </w:rPr>
            </w:pPr>
            <w:r>
              <w:rPr>
                <w:rFonts w:hint="eastAsia" w:ascii="宋体" w:hAnsi="宋体"/>
                <w:b/>
                <w:szCs w:val="21"/>
                <w:lang w:val="en-US" w:eastAsia="zh-CN"/>
              </w:rPr>
              <w:t>2</w:t>
            </w:r>
            <w:r>
              <w:rPr>
                <w:rFonts w:ascii="宋体" w:hAnsi="宋体"/>
                <w:b/>
                <w:szCs w:val="21"/>
              </w:rPr>
              <w:t>.投标截止日投标</w:t>
            </w:r>
            <w:r>
              <w:rPr>
                <w:rFonts w:hint="eastAsia" w:ascii="宋体" w:hAnsi="宋体"/>
                <w:b/>
                <w:szCs w:val="21"/>
                <w:lang w:val="en-US" w:eastAsia="zh-CN"/>
              </w:rPr>
              <w:t>信誉</w:t>
            </w:r>
            <w:r>
              <w:rPr>
                <w:rFonts w:ascii="宋体" w:hAnsi="宋体"/>
                <w:b/>
                <w:szCs w:val="21"/>
              </w:rPr>
              <w:t>资格情况</w:t>
            </w:r>
          </w:p>
          <w:p>
            <w:pPr>
              <w:keepNext w:val="0"/>
              <w:keepLines w:val="0"/>
              <w:pageBreakBefore w:val="0"/>
              <w:kinsoku/>
              <w:wordWrap/>
              <w:overflowPunct/>
              <w:bidi w:val="0"/>
              <w:snapToGrid w:val="0"/>
              <w:spacing w:before="143" w:beforeLines="50" w:after="143" w:afterLines="50" w:line="240" w:lineRule="auto"/>
              <w:textAlignment w:val="auto"/>
              <w:rPr>
                <w:rFonts w:hint="eastAsia" w:ascii="宋体" w:hAnsi="宋体"/>
                <w:szCs w:val="21"/>
              </w:rPr>
            </w:pPr>
            <w:r>
              <w:rPr>
                <w:rFonts w:hint="eastAsia" w:ascii="宋体" w:hAnsi="宋体"/>
                <w:szCs w:val="21"/>
              </w:rPr>
              <w:t>投标人不得存在下列情形之一：</w:t>
            </w:r>
          </w:p>
          <w:p>
            <w:pPr>
              <w:keepNext w:val="0"/>
              <w:keepLines w:val="0"/>
              <w:pageBreakBefore w:val="0"/>
              <w:kinsoku/>
              <w:wordWrap/>
              <w:overflowPunct/>
              <w:bidi w:val="0"/>
              <w:snapToGrid w:val="0"/>
              <w:spacing w:before="143" w:beforeLines="50" w:after="143" w:afterLines="50" w:line="240" w:lineRule="auto"/>
              <w:textAlignment w:val="auto"/>
              <w:rPr>
                <w:rFonts w:hint="eastAsia" w:ascii="宋体" w:hAnsi="宋体"/>
                <w:szCs w:val="21"/>
              </w:rPr>
            </w:pPr>
            <w:r>
              <w:rPr>
                <w:rFonts w:hint="eastAsia" w:ascii="宋体" w:hAnsi="宋体"/>
                <w:szCs w:val="21"/>
              </w:rPr>
              <w:t>在“信用中国”网站（www.creditchina.gov.cn）中列入失信被执行人名单</w:t>
            </w:r>
            <w:r>
              <w:rPr>
                <w:rFonts w:hint="eastAsia" w:ascii="宋体" w:hAnsi="宋体"/>
                <w:szCs w:val="21"/>
                <w:lang w:eastAsia="zh-CN"/>
              </w:rPr>
              <w:t>、</w:t>
            </w:r>
            <w:r>
              <w:rPr>
                <w:rFonts w:hint="eastAsia" w:ascii="宋体" w:hAnsi="宋体"/>
                <w:szCs w:val="21"/>
              </w:rPr>
              <w:t>严重违法失信企业名单；</w:t>
            </w:r>
          </w:p>
          <w:p>
            <w:pPr>
              <w:keepNext w:val="0"/>
              <w:keepLines w:val="0"/>
              <w:pageBreakBefore w:val="0"/>
              <w:kinsoku/>
              <w:wordWrap/>
              <w:overflowPunct/>
              <w:bidi w:val="0"/>
              <w:snapToGrid w:val="0"/>
              <w:spacing w:before="143" w:beforeLines="50" w:after="143" w:afterLines="50" w:line="240" w:lineRule="auto"/>
              <w:textAlignment w:val="auto"/>
              <w:rPr>
                <w:rFonts w:ascii="宋体" w:hAnsi="宋体"/>
                <w:b/>
                <w:szCs w:val="21"/>
                <w:highlight w:val="none"/>
              </w:rPr>
            </w:pPr>
            <w:r>
              <w:rPr>
                <w:rFonts w:hint="eastAsia" w:ascii="宋体" w:hAnsi="宋体"/>
                <w:b/>
                <w:szCs w:val="21"/>
                <w:highlight w:val="none"/>
                <w:lang w:val="en-US" w:eastAsia="zh-CN"/>
              </w:rPr>
              <w:t>3</w:t>
            </w:r>
            <w:r>
              <w:rPr>
                <w:rFonts w:ascii="宋体" w:hAnsi="宋体"/>
                <w:b/>
                <w:szCs w:val="21"/>
                <w:highlight w:val="none"/>
              </w:rPr>
              <w:t>.</w:t>
            </w:r>
            <w:r>
              <w:rPr>
                <w:rFonts w:hint="eastAsia" w:ascii="宋体" w:hAnsi="宋体"/>
                <w:b/>
                <w:szCs w:val="21"/>
                <w:highlight w:val="none"/>
                <w:lang w:val="en-US" w:eastAsia="zh-CN"/>
              </w:rPr>
              <w:t>总监理工程师</w:t>
            </w:r>
            <w:r>
              <w:rPr>
                <w:rFonts w:ascii="宋体" w:hAnsi="宋体"/>
                <w:b/>
                <w:szCs w:val="21"/>
                <w:highlight w:val="none"/>
              </w:rPr>
              <w:t>资格要求</w:t>
            </w:r>
          </w:p>
          <w:p>
            <w:pPr>
              <w:keepNext w:val="0"/>
              <w:keepLines w:val="0"/>
              <w:pageBreakBefore w:val="0"/>
              <w:kinsoku/>
              <w:wordWrap/>
              <w:overflowPunct/>
              <w:bidi w:val="0"/>
              <w:snapToGrid w:val="0"/>
              <w:spacing w:before="143" w:beforeLines="50" w:after="143" w:afterLines="50" w:line="240" w:lineRule="auto"/>
              <w:textAlignment w:val="auto"/>
              <w:rPr>
                <w:rFonts w:hint="eastAsia" w:ascii="宋体" w:hAnsi="宋体" w:eastAsia="宋体"/>
                <w:szCs w:val="21"/>
                <w:lang w:eastAsia="zh-CN"/>
              </w:rPr>
            </w:pPr>
            <w:r>
              <w:rPr>
                <w:rFonts w:hint="eastAsia"/>
                <w:szCs w:val="21"/>
              </w:rPr>
              <w:t>投标人拟派的</w:t>
            </w:r>
            <w:r>
              <w:rPr>
                <w:rFonts w:hint="eastAsia"/>
                <w:szCs w:val="21"/>
                <w:lang w:val="en-US" w:eastAsia="zh-CN"/>
              </w:rPr>
              <w:t>总监理工程师</w:t>
            </w:r>
            <w:r>
              <w:rPr>
                <w:szCs w:val="21"/>
              </w:rPr>
              <w:t>必须</w:t>
            </w:r>
            <w:r>
              <w:rPr>
                <w:rFonts w:hint="eastAsia"/>
                <w:szCs w:val="21"/>
                <w:lang w:val="en-US" w:eastAsia="zh-CN"/>
              </w:rPr>
              <w:t>为</w:t>
            </w:r>
            <w:r>
              <w:rPr>
                <w:rFonts w:hint="eastAsia"/>
                <w:szCs w:val="21"/>
              </w:rPr>
              <w:t>本</w:t>
            </w:r>
            <w:r>
              <w:rPr>
                <w:szCs w:val="21"/>
              </w:rPr>
              <w:t>单位注册并应具有</w:t>
            </w:r>
            <w:r>
              <w:rPr>
                <w:szCs w:val="21"/>
                <w:u w:val="single"/>
              </w:rPr>
              <w:t xml:space="preserve"> </w:t>
            </w:r>
            <w:r>
              <w:rPr>
                <w:rFonts w:hint="eastAsia"/>
                <w:i/>
                <w:szCs w:val="21"/>
                <w:u w:val="single"/>
                <w:lang w:val="en-US" w:eastAsia="zh-CN"/>
              </w:rPr>
              <w:t xml:space="preserve">                 </w:t>
            </w:r>
            <w:r>
              <w:rPr>
                <w:rFonts w:hint="eastAsia"/>
                <w:i/>
                <w:szCs w:val="21"/>
                <w:u w:val="single"/>
              </w:rPr>
              <w:t xml:space="preserve"> </w:t>
            </w:r>
            <w:r>
              <w:rPr>
                <w:rFonts w:hint="eastAsia" w:ascii="宋体" w:hAnsi="宋体"/>
                <w:szCs w:val="21"/>
                <w:lang w:eastAsia="zh-CN"/>
              </w:rPr>
              <w:t>。</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ascii="宋体" w:hAnsi="宋体"/>
                <w:b/>
                <w:szCs w:val="21"/>
              </w:rPr>
            </w:pPr>
            <w:r>
              <w:rPr>
                <w:rFonts w:hint="eastAsia" w:ascii="宋体" w:hAnsi="宋体"/>
                <w:b/>
                <w:szCs w:val="21"/>
                <w:lang w:val="en-US" w:eastAsia="zh-CN"/>
              </w:rPr>
              <w:t>4</w:t>
            </w:r>
            <w:r>
              <w:rPr>
                <w:rFonts w:ascii="宋体" w:hAnsi="宋体"/>
                <w:b/>
                <w:szCs w:val="21"/>
              </w:rPr>
              <w:t>.其他要求</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hint="eastAsia" w:ascii="宋体" w:hAnsi="宋体" w:cs="宋体"/>
                <w:b/>
                <w:szCs w:val="21"/>
                <w:u w:val="single"/>
                <w:lang w:val="en-US" w:eastAsia="zh-CN"/>
              </w:rPr>
            </w:pPr>
            <w:r>
              <w:rPr>
                <w:rFonts w:hint="eastAsia" w:ascii="宋体" w:hAnsi="宋体" w:cs="宋体"/>
                <w:b/>
                <w:szCs w:val="21"/>
                <w:u w:val="single"/>
                <w:lang w:val="en-US" w:eastAsia="zh-CN"/>
              </w:rPr>
              <w:t xml:space="preserve">                                                </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hint="default" w:ascii="宋体" w:hAnsi="宋体" w:eastAsia="宋体" w:cs="宋体"/>
                <w:b/>
                <w:szCs w:val="21"/>
                <w:u w:val="single"/>
                <w:lang w:val="en-US" w:eastAsia="zh-CN"/>
              </w:rPr>
            </w:pP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w:t>
            </w:r>
          </w:p>
          <w:p>
            <w:pPr>
              <w:keepNext w:val="0"/>
              <w:keepLines w:val="0"/>
              <w:pageBreakBefore w:val="0"/>
              <w:kinsoku/>
              <w:wordWrap/>
              <w:overflowPunct/>
              <w:autoSpaceDE w:val="0"/>
              <w:autoSpaceDN w:val="0"/>
              <w:bidi w:val="0"/>
              <w:adjustRightInd w:val="0"/>
              <w:snapToGrid w:val="0"/>
              <w:spacing w:before="143" w:beforeLines="50" w:after="143" w:afterLines="50" w:line="240" w:lineRule="auto"/>
              <w:textAlignment w:val="auto"/>
              <w:rPr>
                <w:rFonts w:ascii="宋体" w:hAnsi="宋体" w:cs="宋体"/>
                <w:b/>
                <w:szCs w:val="21"/>
              </w:rPr>
            </w:pPr>
            <w:r>
              <w:rPr>
                <w:rFonts w:hint="eastAsia" w:ascii="宋体" w:hAnsi="宋体" w:cs="宋体"/>
                <w:b/>
                <w:szCs w:val="21"/>
              </w:rPr>
              <w:t>特别说明：</w:t>
            </w:r>
          </w:p>
          <w:p>
            <w:pPr>
              <w:keepNext w:val="0"/>
              <w:keepLines w:val="0"/>
              <w:pageBreakBefore w:val="0"/>
              <w:kinsoku/>
              <w:wordWrap/>
              <w:overflowPunct/>
              <w:bidi w:val="0"/>
              <w:spacing w:before="143" w:beforeLines="50" w:after="143" w:afterLines="50" w:line="240" w:lineRule="auto"/>
              <w:textAlignment w:val="auto"/>
              <w:rPr>
                <w:rFonts w:ascii="宋体" w:hAnsi="宋体" w:cs="宋体"/>
                <w:b/>
                <w:bCs/>
                <w:kern w:val="0"/>
                <w:szCs w:val="21"/>
                <w:highlight w:val="white"/>
              </w:rPr>
            </w:pPr>
            <w:r>
              <w:rPr>
                <w:rFonts w:hint="eastAsia" w:ascii="宋体" w:hAnsi="宋体" w:cs="宋体"/>
                <w:b/>
                <w:bCs/>
                <w:kern w:val="0"/>
                <w:szCs w:val="21"/>
                <w:highlight w:val="white"/>
                <w:lang w:eastAsia="zh-CN"/>
              </w:rPr>
              <w:t>（</w:t>
            </w:r>
            <w:r>
              <w:rPr>
                <w:rFonts w:hint="eastAsia" w:ascii="宋体" w:hAnsi="宋体" w:cs="宋体"/>
                <w:b/>
                <w:bCs/>
                <w:kern w:val="0"/>
                <w:szCs w:val="21"/>
                <w:highlight w:val="white"/>
                <w:lang w:val="en-US" w:eastAsia="zh-CN"/>
              </w:rPr>
              <w:t>1</w:t>
            </w:r>
            <w:r>
              <w:rPr>
                <w:rFonts w:hint="eastAsia" w:ascii="宋体" w:hAnsi="宋体" w:cs="宋体"/>
                <w:b/>
                <w:bCs/>
                <w:kern w:val="0"/>
                <w:szCs w:val="21"/>
                <w:highlight w:val="white"/>
                <w:lang w:eastAsia="zh-CN"/>
              </w:rPr>
              <w:t>）</w:t>
            </w:r>
            <w:r>
              <w:rPr>
                <w:rFonts w:ascii="宋体" w:hAnsi="宋体" w:cs="宋体"/>
                <w:b/>
                <w:bCs/>
                <w:kern w:val="0"/>
                <w:szCs w:val="21"/>
                <w:highlight w:val="white"/>
              </w:rPr>
              <w:t>评标委员会要求查阅上述资料时，上述资料不全或不符合要求，评标委员会有权认定投标人不符合要求，导致被</w:t>
            </w:r>
            <w:r>
              <w:rPr>
                <w:rFonts w:hint="eastAsia" w:ascii="宋体" w:hAnsi="宋体" w:cs="宋体"/>
                <w:b/>
                <w:bCs/>
                <w:kern w:val="0"/>
                <w:szCs w:val="21"/>
                <w:highlight w:val="white"/>
                <w:lang w:eastAsia="zh-CN"/>
              </w:rPr>
              <w:t>否决投标</w:t>
            </w:r>
            <w:r>
              <w:rPr>
                <w:rFonts w:ascii="宋体" w:hAnsi="宋体" w:cs="宋体"/>
                <w:b/>
                <w:bCs/>
                <w:kern w:val="0"/>
                <w:szCs w:val="21"/>
                <w:highlight w:val="white"/>
              </w:rPr>
              <w:t>的风险由投标人自行承担。</w:t>
            </w:r>
          </w:p>
          <w:p>
            <w:pPr>
              <w:keepNext w:val="0"/>
              <w:keepLines w:val="0"/>
              <w:pageBreakBefore w:val="0"/>
              <w:kinsoku/>
              <w:wordWrap/>
              <w:overflowPunct/>
              <w:bidi w:val="0"/>
              <w:spacing w:before="143" w:beforeLines="50" w:after="143" w:afterLines="50" w:line="240" w:lineRule="auto"/>
              <w:textAlignment w:val="auto"/>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（2）投标人资质条件、能力和信誉设置判定标准必须唯一，资格性评审条件不得在打分时作为加分项。</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rPr>
            </w:pPr>
            <w:r>
              <w:rPr>
                <w:rFonts w:hint="eastAsia" w:ascii="宋体" w:hAnsi="宋体" w:cs="宋体"/>
                <w:b/>
                <w:bCs/>
                <w:kern w:val="0"/>
                <w:szCs w:val="21"/>
                <w:highlight w:val="none"/>
                <w:lang w:val="en-US" w:eastAsia="zh-CN"/>
              </w:rPr>
              <w:t>（3）</w:t>
            </w:r>
            <w:r>
              <w:rPr>
                <w:rFonts w:hint="eastAsia" w:ascii="宋体" w:hAnsi="宋体" w:eastAsia="宋体" w:cs="Times New Roman"/>
                <w:b/>
                <w:bCs/>
                <w:spacing w:val="2"/>
                <w:szCs w:val="21"/>
              </w:rPr>
              <w:t>资格审查时以电子投标文件中链接的已入库资料为准，</w:t>
            </w:r>
            <w:r>
              <w:rPr>
                <w:rFonts w:hint="eastAsia" w:ascii="宋体" w:hAnsi="宋体" w:eastAsia="宋体" w:cs="Times New Roman"/>
                <w:b/>
                <w:bCs/>
                <w:spacing w:val="2"/>
                <w:szCs w:val="21"/>
                <w:lang w:val="en-US" w:eastAsia="zh-CN"/>
              </w:rPr>
              <w:t>无需</w:t>
            </w:r>
            <w:r>
              <w:rPr>
                <w:rFonts w:hint="eastAsia" w:ascii="宋体" w:hAnsi="宋体" w:eastAsia="宋体" w:cs="Times New Roman"/>
                <w:b/>
                <w:bCs/>
                <w:spacing w:val="2"/>
                <w:szCs w:val="21"/>
              </w:rPr>
              <w:t>提供原件，投标人</w:t>
            </w:r>
            <w:r>
              <w:rPr>
                <w:rFonts w:hint="eastAsia" w:ascii="宋体" w:hAnsi="宋体" w:eastAsia="宋体" w:cs="Times New Roman"/>
                <w:b/>
                <w:bCs/>
                <w:spacing w:val="2"/>
                <w:szCs w:val="21"/>
                <w:lang w:val="en-US" w:eastAsia="zh-CN"/>
              </w:rPr>
              <w:t>在</w:t>
            </w:r>
            <w:r>
              <w:rPr>
                <w:rFonts w:hint="eastAsia" w:ascii="宋体" w:hAnsi="宋体" w:eastAsia="宋体" w:cs="Times New Roman"/>
                <w:b/>
                <w:bCs/>
                <w:spacing w:val="2"/>
                <w:szCs w:val="21"/>
              </w:rPr>
              <w:t>制作电子投标文件前必须确认下列原件已完整</w:t>
            </w:r>
            <w:r>
              <w:rPr>
                <w:rFonts w:hint="eastAsia" w:ascii="宋体" w:hAnsi="宋体" w:eastAsia="宋体" w:cs="Times New Roman"/>
                <w:b/>
                <w:bCs/>
                <w:spacing w:val="2"/>
                <w:szCs w:val="21"/>
                <w:lang w:eastAsia="zh-CN"/>
              </w:rPr>
              <w:t>、</w:t>
            </w:r>
            <w:r>
              <w:rPr>
                <w:rFonts w:hint="eastAsia" w:ascii="宋体" w:hAnsi="宋体" w:eastAsia="宋体" w:cs="Times New Roman"/>
                <w:b/>
                <w:bCs/>
                <w:spacing w:val="2"/>
                <w:szCs w:val="21"/>
              </w:rPr>
              <w:t>正确录入诚信库内</w:t>
            </w:r>
            <w:r>
              <w:rPr>
                <w:rFonts w:hint="eastAsia" w:ascii="宋体" w:hAnsi="宋体" w:eastAsia="宋体" w:cs="Times New Roman"/>
                <w:b/>
                <w:bCs/>
                <w:spacing w:val="2"/>
                <w:szCs w:val="21"/>
                <w:lang w:eastAsia="zh-CN"/>
              </w:rPr>
              <w:t>。</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w:t>
            </w:r>
            <w:r>
              <w:rPr>
                <w:rFonts w:ascii="Times New Roman" w:hAnsi="Times New Roman"/>
              </w:rPr>
              <w:t>4.2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rPr>
              <w:t>是否接受联合体投标</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keepNext w:val="0"/>
              <w:keepLines w:val="0"/>
              <w:pageBreakBefore w:val="0"/>
              <w:kinsoku/>
              <w:wordWrap/>
              <w:overflowPunct/>
              <w:bidi w:val="0"/>
              <w:spacing w:before="143" w:beforeLines="50" w:after="143" w:afterLines="50" w:line="240" w:lineRule="auto"/>
              <w:textAlignment w:val="auto"/>
              <w:rPr>
                <w:rFonts w:hint="default" w:ascii="Times New Roman" w:hAnsi="Times New Roman" w:eastAsia="宋体"/>
                <w:color w:val="000000"/>
                <w:sz w:val="32"/>
                <w:lang w:val="en-US" w:eastAsia="zh-CN"/>
              </w:rPr>
            </w:pPr>
            <w:r>
              <w:rPr>
                <w:rFonts w:ascii="Times New Roman" w:hAnsi="Times New Roman"/>
                <w:sz w:val="32"/>
              </w:rPr>
              <w:t>□</w:t>
            </w:r>
            <w:r>
              <w:rPr>
                <w:rFonts w:ascii="Times New Roman" w:hAnsi="Times New Roman"/>
              </w:rPr>
              <w:t>接受，应满足下列要求：</w:t>
            </w:r>
            <w:r>
              <w:rPr>
                <w:rFonts w:hint="eastAsia" w:ascii="Times New Roman" w:hAnsi="Times New Roman"/>
                <w:u w:val="single"/>
                <w:lang w:val="en-US" w:eastAsia="zh-CN"/>
              </w:rPr>
              <w:t xml:space="preserve">                    </w:t>
            </w:r>
            <w:r>
              <w:rPr>
                <w:rFonts w:hint="eastAsia" w:ascii="Times New Roman" w:hAnsi="Times New Roman"/>
                <w:lang w:val="en-US" w:eastAsia="zh-CN"/>
              </w:rPr>
              <w:t>。</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1.4.3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32"/>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1.</w:t>
            </w:r>
            <w:r>
              <w:rPr>
                <w:rFonts w:ascii="Times New Roman" w:hAnsi="Times New Roman"/>
              </w:rPr>
              <w:t>1</w:t>
            </w:r>
            <w:r>
              <w:rPr>
                <w:rFonts w:hint="eastAsia" w:ascii="Times New Roman" w:hAnsi="Times New Roman"/>
                <w:lang w:val="en-US" w:eastAsia="zh-CN"/>
              </w:rPr>
              <w:t>0</w:t>
            </w:r>
            <w:r>
              <w:rPr>
                <w:rFonts w:ascii="Times New Roman" w:hAnsi="Times New Roman"/>
              </w:rPr>
              <w:t>.1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rPr>
              <w:t>实质性要求和条件</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21"/>
                <w:szCs w:val="22"/>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rPr>
            </w:pPr>
            <w:r>
              <w:rPr>
                <w:rFonts w:ascii="Times New Roman" w:hAnsi="Times New Roman"/>
              </w:rPr>
              <w:t>1.1</w:t>
            </w:r>
            <w:r>
              <w:rPr>
                <w:rFonts w:hint="eastAsia" w:ascii="Times New Roman" w:hAnsi="Times New Roman"/>
                <w:lang w:val="en-US" w:eastAsia="zh-CN"/>
              </w:rPr>
              <w:t>0</w:t>
            </w:r>
            <w:r>
              <w:rPr>
                <w:rFonts w:ascii="Times New Roman" w:hAnsi="Times New Roman"/>
              </w:rPr>
              <w:t>.3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rPr>
            </w:pPr>
            <w:r>
              <w:rPr>
                <w:rFonts w:ascii="Times New Roman" w:hAnsi="Times New Roman"/>
              </w:rPr>
              <w:t>偏差</w:t>
            </w:r>
          </w:p>
        </w:tc>
        <w:tc>
          <w:tcPr>
            <w:tcW w:w="559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sz w:val="21"/>
                <w:szCs w:val="22"/>
              </w:rPr>
            </w:pPr>
            <w:r>
              <w:rPr>
                <w:rFonts w:ascii="Times New Roman" w:hAnsi="Times New Roman"/>
                <w:sz w:val="32"/>
              </w:rPr>
              <w:t>□</w:t>
            </w:r>
            <w:r>
              <w:rPr>
                <w:rFonts w:ascii="Times New Roman" w:hAnsi="Times New Roman"/>
                <w:szCs w:val="21"/>
              </w:rPr>
              <w:t>允许，</w:t>
            </w:r>
            <w:r>
              <w:rPr>
                <w:rFonts w:ascii="Times New Roman" w:hAnsi="Times New Roman"/>
                <w:sz w:val="21"/>
                <w:szCs w:val="22"/>
              </w:rPr>
              <w:t>偏差范围：</w:t>
            </w:r>
          </w:p>
          <w:p>
            <w:pPr>
              <w:pStyle w:val="15"/>
              <w:keepNext w:val="0"/>
              <w:keepLines w:val="0"/>
              <w:pageBreakBefore w:val="0"/>
              <w:kinsoku/>
              <w:wordWrap/>
              <w:overflowPunct/>
              <w:topLinePunct/>
              <w:bidi w:val="0"/>
              <w:spacing w:before="143" w:beforeLines="50" w:after="143" w:afterLines="50" w:line="240" w:lineRule="auto"/>
              <w:ind w:firstLine="945" w:firstLineChars="450"/>
              <w:textAlignment w:val="auto"/>
              <w:rPr>
                <w:rFonts w:ascii="Times New Roman" w:hAnsi="Times New Roman"/>
                <w:sz w:val="21"/>
                <w:szCs w:val="22"/>
              </w:rPr>
            </w:pPr>
            <w:r>
              <w:rPr>
                <w:rFonts w:ascii="Times New Roman" w:hAnsi="Times New Roman"/>
                <w:sz w:val="21"/>
                <w:szCs w:val="22"/>
              </w:rPr>
              <w:t>偏差幅度：</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构成招标文件的其他资料</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2.2.1</w:t>
            </w:r>
          </w:p>
        </w:tc>
        <w:tc>
          <w:tcPr>
            <w:tcW w:w="273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r>
              <w:rPr>
                <w:rFonts w:ascii="Times New Roman" w:hAnsi="Times New Roman"/>
                <w:color w:val="000000"/>
                <w:highlight w:val="none"/>
              </w:rPr>
              <w:t>投标人要求澄清招标文件</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eastAsia="宋体"/>
                <w:color w:val="000000"/>
                <w:highlight w:val="none"/>
                <w:lang w:eastAsia="zh-CN"/>
              </w:rPr>
            </w:pPr>
            <w:r>
              <w:rPr>
                <w:rFonts w:ascii="Times New Roman" w:hAnsi="Times New Roman"/>
                <w:color w:val="000000"/>
                <w:highlight w:val="none"/>
              </w:rPr>
              <w:t>时间：</w:t>
            </w:r>
            <w:r>
              <w:rPr>
                <w:rFonts w:hint="eastAsia"/>
                <w:color w:val="000000"/>
                <w:highlight w:val="none"/>
              </w:rPr>
              <w:t>投标截止时间十日前</w:t>
            </w:r>
            <w:r>
              <w:rPr>
                <w:rFonts w:hint="eastAsia"/>
                <w:color w:val="000000"/>
                <w:highlight w:val="none"/>
                <w:lang w:eastAsia="zh-CN"/>
              </w:rPr>
              <w:t>。</w:t>
            </w:r>
          </w:p>
        </w:tc>
      </w:tr>
      <w:tr>
        <w:tblPrEx>
          <w:tblCellMar>
            <w:top w:w="0" w:type="dxa"/>
            <w:left w:w="108" w:type="dxa"/>
            <w:bottom w:w="0" w:type="dxa"/>
            <w:right w:w="108" w:type="dxa"/>
          </w:tblCellMar>
        </w:tblPrEx>
        <w:trPr>
          <w:jc w:val="center"/>
        </w:trPr>
        <w:tc>
          <w:tcPr>
            <w:tcW w:w="99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c>
          <w:tcPr>
            <w:tcW w:w="273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ascii="Times New Roman" w:hAnsi="Times New Roman"/>
                <w:color w:val="000000"/>
                <w:highlight w:val="none"/>
              </w:rPr>
              <w:t>形式：</w:t>
            </w:r>
            <w:r>
              <w:rPr>
                <w:rFonts w:hint="eastAsia"/>
                <w:color w:val="000000"/>
                <w:u w:val="none"/>
              </w:rPr>
              <w:t>在呼和浩特市公共资源交易平台内的“提问”栏目以网上提问的形式通知招标人或招标代理机构，招标人或招标代理机构应对提问做出的答复。</w:t>
            </w:r>
          </w:p>
        </w:tc>
      </w:tr>
      <w:tr>
        <w:tblPrEx>
          <w:tblCellMar>
            <w:top w:w="0" w:type="dxa"/>
            <w:left w:w="108" w:type="dxa"/>
            <w:bottom w:w="0" w:type="dxa"/>
            <w:right w:w="108" w:type="dxa"/>
          </w:tblCellMar>
        </w:tblPrEx>
        <w:trPr>
          <w:jc w:val="center"/>
        </w:trPr>
        <w:tc>
          <w:tcPr>
            <w:tcW w:w="995"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2.2.2</w:t>
            </w:r>
          </w:p>
        </w:tc>
        <w:tc>
          <w:tcPr>
            <w:tcW w:w="273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r>
              <w:rPr>
                <w:rFonts w:ascii="Times New Roman" w:hAnsi="Times New Roman"/>
                <w:color w:val="000000"/>
                <w:highlight w:val="none"/>
              </w:rPr>
              <w:t>招标文件澄清发出的形式</w:t>
            </w:r>
          </w:p>
          <w:p>
            <w:pPr>
              <w:keepNext w:val="0"/>
              <w:keepLines w:val="0"/>
              <w:pageBreakBefore w:val="0"/>
              <w:kinsoku/>
              <w:wordWrap/>
              <w:overflowPunct/>
              <w:bidi w:val="0"/>
              <w:spacing w:before="143" w:beforeLines="50" w:after="143" w:afterLines="50" w:line="240" w:lineRule="auto"/>
              <w:jc w:val="left"/>
              <w:textAlignment w:val="auto"/>
              <w:rPr>
                <w:rFonts w:hint="eastAsia" w:ascii="Times New Roman" w:hAnsi="Times New Roman" w:eastAsia="宋体"/>
                <w:color w:val="000000"/>
                <w:highlight w:val="none"/>
                <w:lang w:eastAsia="zh-CN"/>
              </w:rPr>
            </w:pPr>
            <w:r>
              <w:rPr>
                <w:rFonts w:hint="eastAsia" w:ascii="Times New Roman" w:hAnsi="Times New Roman"/>
                <w:color w:val="000000"/>
                <w:highlight w:val="none"/>
                <w:lang w:eastAsia="zh-CN"/>
              </w:rPr>
              <w:t>（</w:t>
            </w:r>
            <w:r>
              <w:rPr>
                <w:rFonts w:hint="eastAsia" w:ascii="Times New Roman" w:hAnsi="Times New Roman"/>
                <w:color w:val="000000"/>
                <w:highlight w:val="none"/>
                <w:lang w:val="en-US" w:eastAsia="zh-CN"/>
              </w:rPr>
              <w:t>针对投标人要求的</w:t>
            </w:r>
            <w:r>
              <w:rPr>
                <w:rFonts w:hint="eastAsia" w:ascii="Times New Roman" w:hAnsi="Times New Roman"/>
                <w:color w:val="000000"/>
                <w:highlight w:val="none"/>
                <w:lang w:eastAsia="zh-CN"/>
              </w:rPr>
              <w:t>）</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rPr>
          <w:jc w:val="center"/>
        </w:trPr>
        <w:tc>
          <w:tcPr>
            <w:tcW w:w="99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2.2.3</w:t>
            </w:r>
          </w:p>
        </w:tc>
        <w:tc>
          <w:tcPr>
            <w:tcW w:w="273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r>
              <w:rPr>
                <w:rFonts w:ascii="Times New Roman" w:hAnsi="Times New Roman"/>
                <w:color w:val="000000"/>
                <w:highlight w:val="none"/>
              </w:rPr>
              <w:t>投标人确认收到招标文件澄清</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ascii="Times New Roman" w:hAnsi="Times New Roman"/>
                <w:color w:val="000000"/>
                <w:highlight w:val="none"/>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rPr>
          <w:jc w:val="center"/>
        </w:trPr>
        <w:tc>
          <w:tcPr>
            <w:tcW w:w="99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c>
          <w:tcPr>
            <w:tcW w:w="273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ascii="Times New Roman" w:hAnsi="Times New Roman"/>
                <w:color w:val="000000"/>
                <w:highlight w:val="none"/>
              </w:rPr>
              <w:t>形式：</w:t>
            </w:r>
            <w:r>
              <w:rPr>
                <w:rFonts w:hint="eastAsia"/>
                <w:color w:val="000000"/>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rPr>
          <w:jc w:val="center"/>
        </w:trPr>
        <w:tc>
          <w:tcPr>
            <w:tcW w:w="995"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2.3.1</w:t>
            </w:r>
          </w:p>
        </w:tc>
        <w:tc>
          <w:tcPr>
            <w:tcW w:w="2730"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yellow"/>
              </w:rPr>
            </w:pPr>
            <w:r>
              <w:rPr>
                <w:rFonts w:ascii="Times New Roman" w:hAnsi="Times New Roman"/>
                <w:color w:val="000000"/>
                <w:highlight w:val="none"/>
              </w:rPr>
              <w:t>招标文件修改发出的形式</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yellow"/>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rPr>
          <w:jc w:val="center"/>
        </w:trPr>
        <w:tc>
          <w:tcPr>
            <w:tcW w:w="99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2.3.2</w:t>
            </w:r>
          </w:p>
        </w:tc>
        <w:tc>
          <w:tcPr>
            <w:tcW w:w="273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r>
              <w:rPr>
                <w:rFonts w:ascii="Times New Roman" w:hAnsi="Times New Roman"/>
                <w:color w:val="000000"/>
                <w:highlight w:val="none"/>
              </w:rPr>
              <w:t>投标人确认收到招标文件修改</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ascii="Times New Roman" w:hAnsi="Times New Roman"/>
                <w:color w:val="000000"/>
                <w:highlight w:val="none"/>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rPr>
          <w:jc w:val="center"/>
        </w:trPr>
        <w:tc>
          <w:tcPr>
            <w:tcW w:w="99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p>
        </w:tc>
        <w:tc>
          <w:tcPr>
            <w:tcW w:w="273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highlight w:val="none"/>
              </w:rPr>
            </w:pP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highlight w:val="none"/>
              </w:rPr>
            </w:pPr>
            <w:r>
              <w:rPr>
                <w:rFonts w:ascii="Times New Roman" w:hAnsi="Times New Roman"/>
                <w:color w:val="000000"/>
                <w:highlight w:val="none"/>
              </w:rPr>
              <w:t>形式：</w:t>
            </w:r>
            <w:r>
              <w:rPr>
                <w:rFonts w:hint="eastAsia"/>
                <w:color w:val="000000"/>
                <w:highlight w:val="none"/>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rPr>
          <w:trHeight w:val="89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3.1.1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构成投标文件的其他资料</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default" w:ascii="Times New Roman" w:hAnsi="Times New Roman" w:eastAsia="宋体"/>
                <w:color w:val="000000"/>
                <w:lang w:val="en-US" w:eastAsia="zh-CN"/>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3.2.1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增值税税金的计算方法</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default" w:ascii="Times New Roman" w:hAnsi="Times New Roman" w:eastAsia="宋体"/>
                <w:color w:val="000000"/>
                <w:lang w:val="en-US" w:eastAsia="zh-CN"/>
              </w:rPr>
            </w:pPr>
            <w:r>
              <w:rPr>
                <w:rFonts w:hint="eastAsia" w:ascii="Times New Roman" w:hAnsi="Times New Roman"/>
                <w:color w:val="000000"/>
                <w:lang w:val="en-US" w:eastAsia="zh-CN"/>
              </w:rPr>
              <w:t>按照国家增值税税率进行计算；</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3.2.3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报价方式</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default" w:ascii="Times New Roman" w:hAnsi="Times New Roman" w:eastAsia="宋体"/>
                <w:color w:val="000000"/>
                <w:lang w:val="en-US" w:eastAsia="zh-CN"/>
              </w:rPr>
            </w:pPr>
            <w:r>
              <w:rPr>
                <w:rFonts w:hint="eastAsia" w:ascii="Times New Roman" w:hAnsi="Times New Roman"/>
                <w:color w:val="000000"/>
                <w:highlight w:val="none"/>
                <w:lang w:val="en-US" w:eastAsia="zh-CN"/>
              </w:rPr>
              <w:t>总价报价。</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3.2.4</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最高投标限价</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ascii="Times New Roman" w:hAnsi="Times New Roman"/>
                <w:sz w:val="32"/>
              </w:rPr>
              <w:t>□</w:t>
            </w:r>
            <w:r>
              <w:rPr>
                <w:rFonts w:ascii="Times New Roman" w:hAnsi="Times New Roman"/>
              </w:rPr>
              <w:t>无</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3.2.5</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投标报价的其他要求</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3.3.1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投标有效期</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bookmarkStart w:id="6" w:name="_Toc384308207"/>
            <w:bookmarkStart w:id="7" w:name="_Toc361508582"/>
            <w:bookmarkStart w:id="8" w:name="_Toc369531512"/>
            <w:bookmarkStart w:id="9" w:name="_Toc300834946"/>
            <w:bookmarkStart w:id="10" w:name="_Toc352691470"/>
            <w:bookmarkStart w:id="11" w:name="_Toc1789"/>
            <w:r>
              <w:rPr>
                <w:rFonts w:hint="eastAsia"/>
                <w:color w:val="000000"/>
                <w:u w:val="none"/>
              </w:rPr>
              <w:t>为</w:t>
            </w:r>
            <w:r>
              <w:rPr>
                <w:rFonts w:hint="eastAsia"/>
                <w:color w:val="000000"/>
                <w:u w:val="single"/>
                <w:lang w:val="en-US" w:eastAsia="zh-CN"/>
              </w:rPr>
              <w:t xml:space="preserve">          </w:t>
            </w:r>
            <w:r>
              <w:rPr>
                <w:rFonts w:hint="eastAsia"/>
                <w:color w:val="000000"/>
                <w:u w:val="none"/>
              </w:rPr>
              <w:t>日历天（从投标截止之日算起）</w:t>
            </w:r>
          </w:p>
        </w:tc>
      </w:tr>
      <w:bookmarkEnd w:id="6"/>
      <w:bookmarkEnd w:id="7"/>
      <w:bookmarkEnd w:id="8"/>
      <w:bookmarkEnd w:id="9"/>
      <w:bookmarkEnd w:id="10"/>
      <w:bookmarkEnd w:id="11"/>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3.4.1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投标保证金</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投标保证金缴纳要求：</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1、投标保证金缴纳方式：电子保函、银行转账、电汇、网上银行；</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2、投标保证金的金额：</w:t>
            </w:r>
            <w:r>
              <w:rPr>
                <w:rFonts w:hint="eastAsia"/>
                <w:color w:val="000000"/>
                <w:u w:val="single"/>
                <w:lang w:val="en-US" w:eastAsia="zh-CN"/>
              </w:rPr>
              <w:t xml:space="preserve">                  </w:t>
            </w:r>
            <w:r>
              <w:rPr>
                <w:rFonts w:hint="eastAsia"/>
                <w:color w:val="000000"/>
                <w:u w:val="none"/>
                <w:lang w:val="en-US" w:eastAsia="zh-CN"/>
              </w:rPr>
              <w:t>。</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3、投标保证金必须从本单位在诚信信息库中登记的基本账户转出；</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4、投标保证金必须在投标截止时间前（以银行到账时间为准）转入本标段保证金查询中任意一个呼市公共资源交易服务中心保证金账户；</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5、电子保函办理：登录呼和浩特市公共资源交易服务平台（http://42.123.92.182:9010）【首页】-【电子保函】-【登录】选择标段后在工程保证保函系统中办理投标银行保函、投标担保保函、投标保证保险。</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default"/>
                <w:color w:val="000000"/>
                <w:lang w:val="en-US" w:eastAsia="zh-CN"/>
              </w:rPr>
            </w:pPr>
            <w:r>
              <w:rPr>
                <w:rFonts w:hint="eastAsia"/>
                <w:color w:val="000000"/>
                <w:lang w:val="en-US" w:eastAsia="zh-CN"/>
              </w:rPr>
              <w:t>6、鼓励投保人使用电子保函方式缴纳投标保证金。</w:t>
            </w:r>
          </w:p>
          <w:p>
            <w:pPr>
              <w:keepNext w:val="0"/>
              <w:keepLines w:val="0"/>
              <w:pageBreakBefore w:val="0"/>
              <w:widowControl/>
              <w:suppressLineNumbers w:val="0"/>
              <w:kinsoku/>
              <w:wordWrap/>
              <w:overflowPunct/>
              <w:bidi w:val="0"/>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7、其他要求：</w:t>
            </w:r>
            <w:r>
              <w:rPr>
                <w:rFonts w:hint="eastAsia"/>
                <w:color w:val="000000"/>
                <w:u w:val="single"/>
                <w:lang w:val="en-US" w:eastAsia="zh-CN"/>
              </w:rPr>
              <w:t xml:space="preserve">  无   </w:t>
            </w:r>
            <w:r>
              <w:rPr>
                <w:rFonts w:hint="eastAsia"/>
                <w:color w:val="000000"/>
                <w:lang w:val="en-US" w:eastAsia="zh-CN"/>
              </w:rPr>
              <w:t>。</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Cs w:val="22"/>
              </w:rPr>
            </w:pPr>
            <w:r>
              <w:rPr>
                <w:rFonts w:hint="eastAsia"/>
                <w:color w:val="000000"/>
                <w:lang w:val="en-US" w:eastAsia="zh-CN"/>
              </w:rPr>
              <w:t>未按以上要求办理的投标保证金视为无效，投标文件将被拒绝，其投标无效。后果由投标人自行承担。</w:t>
            </w:r>
          </w:p>
        </w:tc>
      </w:tr>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3.4.4</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szCs w:val="21"/>
              </w:rPr>
              <w:t>其他可以不予退还投标保证金的情形</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p>
        </w:tc>
      </w:tr>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3.5</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3.5.2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szCs w:val="21"/>
              </w:rPr>
            </w:pPr>
            <w:r>
              <w:rPr>
                <w:rFonts w:ascii="Times New Roman" w:hAnsi="Times New Roman"/>
              </w:rPr>
              <w:t>近年财务状况的年份要求</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u w:val="single"/>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3.5.3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3.6.1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rPr>
              <w:t>是否允许递交备选投标方案</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3.7.3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投标文件所附证书证件要求</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32"/>
              </w:rPr>
            </w:pP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highlight w:val="none"/>
              </w:rPr>
            </w:pPr>
            <w:r>
              <w:rPr>
                <w:rFonts w:ascii="Times New Roman" w:hAnsi="Times New Roman"/>
                <w:color w:val="000000"/>
                <w:highlight w:val="none"/>
              </w:rPr>
              <w:t>3.7.3</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highlight w:val="none"/>
              </w:rPr>
            </w:pPr>
            <w:r>
              <w:rPr>
                <w:rFonts w:ascii="Times New Roman" w:hAnsi="Times New Roman"/>
                <w:color w:val="000000"/>
                <w:highlight w:val="none"/>
              </w:rPr>
              <w:t>投标文件签字或盖章要求</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投标文件应使用“新点投标文件制作软件（</w:t>
            </w:r>
            <w:r>
              <w:rPr>
                <w:rFonts w:hint="eastAsia"/>
                <w:color w:val="000000"/>
                <w:lang w:val="en-US" w:eastAsia="zh-CN"/>
              </w:rPr>
              <w:t>呼和浩特新</w:t>
            </w:r>
            <w:r>
              <w:rPr>
                <w:rFonts w:hint="eastAsia"/>
                <w:color w:val="000000"/>
              </w:rPr>
              <w:t>版）”编制而成。投标文件格式文件要求盖单位法人章或签字的地方，投标人均应使用 CA 数字证书加盖投标人的单位电子印章或电子签名。</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32"/>
                <w:highlight w:val="yellow"/>
              </w:rPr>
            </w:pPr>
            <w:r>
              <w:rPr>
                <w:rFonts w:hint="eastAsia" w:ascii="Calibri" w:hAnsi="Calibri" w:eastAsia="宋体" w:cs="Times New Roman"/>
                <w:color w:val="000000"/>
                <w:kern w:val="2"/>
                <w:sz w:val="21"/>
                <w:szCs w:val="22"/>
                <w:lang w:val="en-US" w:eastAsia="zh-CN" w:bidi="ar-SA"/>
              </w:rPr>
              <w:t>未按上述规定执行的，其投标无效。后果由投标人自行承担 。</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4.1.1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投标文件加密要求</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color w:val="000000"/>
                <w:sz w:val="32"/>
              </w:rPr>
            </w:pPr>
            <w:r>
              <w:rPr>
                <w:rFonts w:hint="eastAsia" w:ascii="Times New Roman" w:hAnsi="Times New Roman"/>
                <w:color w:val="auto"/>
                <w:sz w:val="21"/>
                <w:szCs w:val="21"/>
                <w:highlight w:val="none"/>
              </w:rPr>
              <w:t>本项目采用全流程电子招标投标，投标人提供的投标文件为：加密电子投标文件（网上递交）一份。否则招标人将予以拒收。</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4.2.1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投标截止时间</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tblPrEx>
          <w:tblCellMar>
            <w:top w:w="0" w:type="dxa"/>
            <w:left w:w="108" w:type="dxa"/>
            <w:bottom w:w="0" w:type="dxa"/>
            <w:right w:w="108" w:type="dxa"/>
          </w:tblCellMar>
        </w:tblPrEx>
        <w:trPr>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4.2.2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递交投标文件地点</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color w:val="000000"/>
                <w:u w:val="none"/>
              </w:rPr>
              <w:t>投标人应当在投标截止时间前，通过互联网使用数字证书登录“呼和浩特市公共资源交易平台”，将加密的电子投标文件（*.hhhtTF）上传。</w:t>
            </w:r>
          </w:p>
        </w:tc>
      </w:tr>
      <w:tr>
        <w:tblPrEx>
          <w:tblCellMar>
            <w:top w:w="0" w:type="dxa"/>
            <w:left w:w="108" w:type="dxa"/>
            <w:bottom w:w="0" w:type="dxa"/>
            <w:right w:w="108" w:type="dxa"/>
          </w:tblCellMar>
        </w:tblPrEx>
        <w:trPr>
          <w:trHeight w:val="88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5.1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开标时间和地点</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开标时间：同投标截止时间</w:t>
            </w:r>
          </w:p>
          <w:p>
            <w:pPr>
              <w:keepNext w:val="0"/>
              <w:keepLines w:val="0"/>
              <w:pageBreakBefore w:val="0"/>
              <w:kinsoku/>
              <w:wordWrap/>
              <w:overflowPunct/>
              <w:bidi w:val="0"/>
              <w:spacing w:before="143" w:beforeLines="50" w:after="143" w:afterLines="50" w:line="240" w:lineRule="auto"/>
              <w:jc w:val="left"/>
              <w:textAlignment w:val="auto"/>
              <w:rPr>
                <w:rFonts w:hint="eastAsia"/>
                <w:color w:val="000000"/>
                <w:lang w:val="en-US" w:eastAsia="zh-CN"/>
              </w:rPr>
            </w:pPr>
            <w:r>
              <w:rPr>
                <w:rFonts w:hint="eastAsia"/>
                <w:color w:val="000000"/>
              </w:rPr>
              <w:t>开标地点：</w:t>
            </w:r>
            <w:r>
              <w:rPr>
                <w:rFonts w:hint="eastAsia"/>
                <w:color w:val="000000"/>
                <w:lang w:val="en-US" w:eastAsia="zh-CN"/>
              </w:rPr>
              <w:t>呼和浩特市不见面开标大厅（http://42.123.92.182:9010/BidOpening/）</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ascii="宋体" w:hAnsi="宋体"/>
                <w:bCs/>
                <w:szCs w:val="21"/>
              </w:rPr>
              <w:t>注意：解密投标文件需使用加密电子投标文件的数字证书。投标人代表可通过互联网使用该数字证书登录</w:t>
            </w:r>
            <w:r>
              <w:rPr>
                <w:rFonts w:hint="eastAsia" w:ascii="宋体" w:hAnsi="宋体"/>
                <w:bCs/>
                <w:szCs w:val="21"/>
                <w:lang w:val="en-US" w:eastAsia="zh-CN"/>
              </w:rPr>
              <w:t>呼和浩特市不见面开标大厅</w:t>
            </w:r>
            <w:r>
              <w:rPr>
                <w:rFonts w:hint="eastAsia" w:ascii="宋体" w:hAnsi="宋体"/>
                <w:bCs/>
                <w:szCs w:val="21"/>
              </w:rPr>
              <w:t>，采用远程解密的方式在</w:t>
            </w:r>
            <w:r>
              <w:rPr>
                <w:rFonts w:hint="eastAsia" w:ascii="宋体" w:hAnsi="宋体"/>
                <w:bCs/>
                <w:szCs w:val="21"/>
                <w:highlight w:val="none"/>
              </w:rPr>
              <w:t>投标须知前附表规定的时间内</w:t>
            </w:r>
            <w:r>
              <w:rPr>
                <w:rFonts w:hint="eastAsia" w:ascii="宋体" w:hAnsi="宋体"/>
                <w:bCs/>
                <w:szCs w:val="21"/>
              </w:rPr>
              <w:t>完成投标文件解密工作。</w:t>
            </w:r>
          </w:p>
        </w:tc>
      </w:tr>
      <w:tr>
        <w:tblPrEx>
          <w:tblCellMar>
            <w:top w:w="0" w:type="dxa"/>
            <w:left w:w="108" w:type="dxa"/>
            <w:bottom w:w="0" w:type="dxa"/>
            <w:right w:w="108" w:type="dxa"/>
          </w:tblCellMar>
        </w:tblPrEx>
        <w:trPr>
          <w:trHeight w:val="381"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5.2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开标程序</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按下列程序进行开标：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eastAsia"/>
                <w:color w:val="000000"/>
                <w:lang w:val="en-US" w:eastAsia="zh-CN"/>
              </w:rPr>
            </w:pPr>
            <w:r>
              <w:rPr>
                <w:rFonts w:hint="eastAsia"/>
                <w:color w:val="000000"/>
                <w:lang w:val="en-US" w:eastAsia="zh-CN"/>
              </w:rPr>
              <w:t>1、等待开标：各交易主体登录呼和浩特市不见面开标大厅等待开标。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2、查看投标人：</w:t>
            </w:r>
            <w:r>
              <w:rPr>
                <w:rFonts w:hint="eastAsia"/>
                <w:color w:val="000000"/>
              </w:rPr>
              <w:t>开标时间（与投标截止时间一致）</w:t>
            </w:r>
            <w:r>
              <w:rPr>
                <w:rFonts w:hint="eastAsia"/>
                <w:color w:val="000000"/>
                <w:lang w:val="en-US" w:eastAsia="zh-CN"/>
              </w:rPr>
              <w:t>已到</w:t>
            </w:r>
            <w:r>
              <w:rPr>
                <w:rFonts w:hint="eastAsia"/>
                <w:color w:val="000000"/>
              </w:rPr>
              <w:t>，</w:t>
            </w:r>
            <w:r>
              <w:rPr>
                <w:rFonts w:hint="eastAsia"/>
                <w:color w:val="000000"/>
                <w:lang w:val="en-US" w:eastAsia="zh-CN"/>
              </w:rPr>
              <w:t>开标大厅</w:t>
            </w:r>
            <w:r>
              <w:rPr>
                <w:rFonts w:hint="eastAsia"/>
                <w:color w:val="000000"/>
              </w:rPr>
              <w:t>自动提取所有在投标截止时间前成功投递的投标文件。公布投标人名单。</w:t>
            </w:r>
          </w:p>
          <w:p>
            <w:pPr>
              <w:keepNext w:val="0"/>
              <w:keepLines w:val="0"/>
              <w:pageBreakBefore w:val="0"/>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3、标书解密：按照</w:t>
            </w:r>
            <w:r>
              <w:rPr>
                <w:rFonts w:hint="eastAsia"/>
                <w:color w:val="000000"/>
              </w:rPr>
              <w:t>系统提示</w:t>
            </w:r>
            <w:r>
              <w:rPr>
                <w:rFonts w:hint="eastAsia"/>
                <w:color w:val="000000"/>
                <w:lang w:eastAsia="zh-CN"/>
              </w:rPr>
              <w:t>，</w:t>
            </w:r>
            <w:r>
              <w:rPr>
                <w:rFonts w:hint="eastAsia"/>
                <w:color w:val="000000"/>
              </w:rPr>
              <w:t>投标人在招标文件规定的时间内自行解密其经加密的电子投标文件。</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在规定的时间内未成功解密的投标文件处理方式：</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因</w:t>
            </w:r>
            <w:r>
              <w:rPr>
                <w:rFonts w:hint="eastAsia"/>
                <w:color w:val="000000"/>
                <w:lang w:val="en-US" w:eastAsia="zh-CN"/>
              </w:rPr>
              <w:t>呼和浩特市不见面开标大厅</w:t>
            </w:r>
            <w:r>
              <w:rPr>
                <w:rFonts w:hint="eastAsia"/>
                <w:color w:val="000000"/>
              </w:rPr>
              <w:t>等原因影响解密进程时，招标人可根据现场投标情况延长解密时间；</w:t>
            </w: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因投标人原因未完成解密工作的，视为撤销其投标文件。</w:t>
            </w:r>
          </w:p>
          <w:p>
            <w:pPr>
              <w:keepNext w:val="0"/>
              <w:keepLines w:val="0"/>
              <w:pageBreakBefore w:val="0"/>
              <w:kinsoku/>
              <w:wordWrap/>
              <w:overflowPunct/>
              <w:bidi w:val="0"/>
              <w:spacing w:before="143" w:beforeLines="50" w:after="143" w:afterLines="50" w:line="240" w:lineRule="auto"/>
              <w:textAlignment w:val="auto"/>
              <w:rPr>
                <w:rFonts w:hint="default" w:eastAsia="宋体"/>
                <w:color w:val="000000"/>
                <w:lang w:val="en-US" w:eastAsia="zh-CN"/>
              </w:rPr>
            </w:pPr>
            <w:r>
              <w:rPr>
                <w:rFonts w:hint="eastAsia"/>
                <w:color w:val="000000"/>
                <w:lang w:val="en-US" w:eastAsia="zh-CN"/>
              </w:rPr>
              <w:t>（3）其他解密异常情况按照应急处理办法执行；</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4、标书导入：</w:t>
            </w:r>
            <w:r>
              <w:rPr>
                <w:rFonts w:hint="eastAsia"/>
                <w:color w:val="000000"/>
              </w:rPr>
              <w:t>解密全部完成或招标文件规定的解密时间截止后，进入</w:t>
            </w:r>
            <w:r>
              <w:rPr>
                <w:rFonts w:hint="eastAsia"/>
                <w:color w:val="000000"/>
                <w:lang w:val="en-US" w:eastAsia="zh-CN"/>
              </w:rPr>
              <w:t>标书导入</w:t>
            </w:r>
            <w:r>
              <w:rPr>
                <w:rFonts w:hint="eastAsia"/>
                <w:color w:val="000000"/>
              </w:rPr>
              <w:t>环节。</w:t>
            </w:r>
            <w:r>
              <w:rPr>
                <w:rFonts w:hint="eastAsia"/>
                <w:color w:val="000000"/>
                <w:lang w:val="en-US" w:eastAsia="zh-CN"/>
              </w:rPr>
              <w:t>开标大厅</w:t>
            </w:r>
            <w:r>
              <w:rPr>
                <w:rFonts w:hint="eastAsia"/>
                <w:color w:val="000000"/>
              </w:rPr>
              <w:t>展示最终解密结果，公布成功解密投标人名单，并备注投标文件未成功解密的原因（若有）。</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 xml:space="preserve">5. </w:t>
            </w:r>
            <w:r>
              <w:rPr>
                <w:rFonts w:hint="eastAsia"/>
                <w:color w:val="000000"/>
                <w:lang w:val="en-US" w:eastAsia="zh-CN"/>
              </w:rPr>
              <w:t>唱标：</w:t>
            </w:r>
            <w:r>
              <w:rPr>
                <w:rFonts w:hint="eastAsia"/>
                <w:color w:val="000000"/>
              </w:rPr>
              <w:t>公布投标人名称、投标报价、质量目标、工期及其他内容。</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6</w:t>
            </w:r>
            <w:r>
              <w:rPr>
                <w:rFonts w:hint="eastAsia"/>
                <w:color w:val="000000"/>
                <w:lang w:eastAsia="zh-CN"/>
              </w:rPr>
              <w:t>、</w:t>
            </w:r>
            <w:r>
              <w:rPr>
                <w:rFonts w:hint="eastAsia"/>
                <w:color w:val="000000"/>
                <w:lang w:val="en-US" w:eastAsia="zh-CN"/>
              </w:rPr>
              <w:t>系数抽取：抽取本次开标需要的系数（如有）</w:t>
            </w:r>
            <w:r>
              <w:rPr>
                <w:rFonts w:hint="eastAsia"/>
                <w:color w:val="000000"/>
              </w:rPr>
              <w:t>。</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7</w:t>
            </w:r>
            <w:r>
              <w:rPr>
                <w:rFonts w:hint="eastAsia"/>
                <w:color w:val="000000"/>
                <w:lang w:eastAsia="zh-CN"/>
              </w:rPr>
              <w:t>、</w:t>
            </w:r>
            <w:r>
              <w:rPr>
                <w:rFonts w:hint="eastAsia"/>
                <w:color w:val="000000"/>
              </w:rPr>
              <w:t>投标人对开标有异议的，应在</w:t>
            </w:r>
            <w:r>
              <w:rPr>
                <w:rFonts w:hint="eastAsia"/>
                <w:color w:val="000000"/>
                <w:lang w:val="en-US" w:eastAsia="zh-CN"/>
              </w:rPr>
              <w:t>开标期间在</w:t>
            </w:r>
            <w:r>
              <w:rPr>
                <w:rFonts w:hint="eastAsia"/>
                <w:color w:val="000000"/>
              </w:rPr>
              <w:t>线提出，由招标人或代理机构在线答复。</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color w:val="000000"/>
                <w:lang w:val="en-US" w:eastAsia="zh-CN"/>
              </w:rPr>
              <w:t>8、</w:t>
            </w:r>
            <w:r>
              <w:rPr>
                <w:rFonts w:hint="eastAsia"/>
                <w:color w:val="000000"/>
              </w:rPr>
              <w:t>开标结束。</w:t>
            </w:r>
          </w:p>
        </w:tc>
      </w:tr>
      <w:tr>
        <w:tblPrEx>
          <w:tblCellMar>
            <w:top w:w="0" w:type="dxa"/>
            <w:left w:w="108" w:type="dxa"/>
            <w:bottom w:w="0" w:type="dxa"/>
            <w:right w:w="108" w:type="dxa"/>
          </w:tblCellMar>
        </w:tblPrEx>
        <w:trPr>
          <w:trHeight w:val="88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6.1.1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ascii="Times New Roman" w:hAnsi="Times New Roman"/>
                <w:color w:val="000000"/>
              </w:rPr>
            </w:pPr>
            <w:r>
              <w:rPr>
                <w:rFonts w:ascii="Times New Roman" w:hAnsi="Times New Roman"/>
                <w:color w:val="000000"/>
              </w:rPr>
              <w:t>评标委员会的组建</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u w:val="single"/>
              </w:rPr>
            </w:pPr>
            <w:r>
              <w:rPr>
                <w:rFonts w:hint="eastAsia" w:ascii="Times New Roman" w:hAnsi="Times New Roman"/>
                <w:color w:val="000000"/>
                <w:szCs w:val="24"/>
              </w:rPr>
              <w:t>评标委员会构成：</w:t>
            </w:r>
            <w:r>
              <w:rPr>
                <w:rFonts w:hint="eastAsia" w:ascii="Times New Roman" w:hAnsi="Times New Roman"/>
                <w:color w:val="000000"/>
                <w:szCs w:val="24"/>
                <w:u w:val="single"/>
              </w:rPr>
              <w:t xml:space="preserve">      </w:t>
            </w:r>
            <w:r>
              <w:rPr>
                <w:rFonts w:hint="eastAsia" w:ascii="Times New Roman" w:hAnsi="Times New Roman"/>
                <w:color w:val="000000"/>
                <w:szCs w:val="24"/>
              </w:rPr>
              <w:t>人，其中招标人代表</w:t>
            </w:r>
            <w:r>
              <w:rPr>
                <w:rFonts w:hint="eastAsia" w:ascii="Times New Roman" w:hAnsi="Times New Roman"/>
                <w:color w:val="000000"/>
                <w:szCs w:val="24"/>
                <w:u w:val="single"/>
              </w:rPr>
              <w:t xml:space="preserve">       </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rPr>
            </w:pPr>
            <w:r>
              <w:rPr>
                <w:rFonts w:hint="eastAsia" w:ascii="Times New Roman" w:hAnsi="Times New Roman"/>
                <w:color w:val="000000"/>
                <w:szCs w:val="24"/>
              </w:rPr>
              <w:t>人，专家</w:t>
            </w:r>
            <w:r>
              <w:rPr>
                <w:rFonts w:hint="eastAsia" w:ascii="Times New Roman" w:hAnsi="Times New Roman"/>
                <w:color w:val="000000"/>
                <w:szCs w:val="24"/>
                <w:u w:val="single"/>
              </w:rPr>
              <w:t xml:space="preserve">   </w:t>
            </w:r>
            <w:r>
              <w:rPr>
                <w:rFonts w:hint="eastAsia" w:ascii="Times New Roman" w:hAnsi="Times New Roman"/>
                <w:color w:val="000000"/>
                <w:szCs w:val="24"/>
                <w:u w:val="single"/>
                <w:lang w:val="en-US" w:eastAsia="zh-CN"/>
              </w:rPr>
              <w:t xml:space="preserve">  </w:t>
            </w:r>
            <w:r>
              <w:rPr>
                <w:rFonts w:hint="eastAsia" w:ascii="Times New Roman" w:hAnsi="Times New Roman"/>
                <w:color w:val="000000"/>
                <w:szCs w:val="24"/>
                <w:u w:val="single"/>
              </w:rPr>
              <w:t xml:space="preserve">   </w:t>
            </w:r>
            <w:r>
              <w:rPr>
                <w:rFonts w:hint="eastAsia" w:ascii="Times New Roman" w:hAnsi="Times New Roman"/>
                <w:color w:val="000000"/>
                <w:szCs w:val="24"/>
              </w:rPr>
              <w:t>人；</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rPr>
            </w:pPr>
            <w:r>
              <w:rPr>
                <w:rFonts w:hint="eastAsia" w:ascii="Times New Roman" w:hAnsi="Times New Roman"/>
                <w:b/>
                <w:bCs/>
                <w:color w:val="000000"/>
                <w:szCs w:val="24"/>
              </w:rPr>
              <w:t>评标专家确定方式</w:t>
            </w:r>
            <w:r>
              <w:rPr>
                <w:rFonts w:hint="eastAsia" w:ascii="Times New Roman" w:hAnsi="Times New Roman"/>
                <w:b/>
                <w:bCs/>
                <w:color w:val="000000"/>
                <w:szCs w:val="24"/>
                <w:lang w:eastAsia="zh-CN"/>
              </w:rPr>
              <w:t>：由招标人代表和</w:t>
            </w:r>
            <w:r>
              <w:rPr>
                <w:rFonts w:hint="eastAsia" w:ascii="Times New Roman" w:hAnsi="Times New Roman"/>
                <w:b/>
                <w:bCs/>
                <w:color w:val="000000"/>
                <w:szCs w:val="24"/>
                <w:lang w:val="en-US" w:eastAsia="zh-CN"/>
              </w:rPr>
              <w:t>内蒙古自治区评标评审综合专家库</w:t>
            </w:r>
            <w:r>
              <w:rPr>
                <w:rFonts w:hint="eastAsia" w:ascii="Times New Roman" w:hAnsi="Times New Roman"/>
                <w:b/>
                <w:bCs/>
                <w:color w:val="000000"/>
                <w:szCs w:val="24"/>
                <w:lang w:eastAsia="zh-CN"/>
              </w:rPr>
              <w:t>随机抽取的经济、技术专家组成。其中经济、技术方面的专家不得少于成员总数的三分之二。</w:t>
            </w:r>
          </w:p>
        </w:tc>
      </w:tr>
      <w:tr>
        <w:tblPrEx>
          <w:tblCellMar>
            <w:top w:w="0" w:type="dxa"/>
            <w:left w:w="108" w:type="dxa"/>
            <w:bottom w:w="0" w:type="dxa"/>
            <w:right w:w="108" w:type="dxa"/>
          </w:tblCellMar>
        </w:tblPrEx>
        <w:trPr>
          <w:trHeight w:val="88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color w:val="000000"/>
              </w:rPr>
              <w:t>6.3.2</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hint="default" w:ascii="Times New Roman" w:hAnsi="Times New Roman" w:eastAsia="宋体"/>
                <w:color w:val="000000"/>
                <w:lang w:val="en-US" w:eastAsia="zh-CN"/>
              </w:rPr>
            </w:pPr>
            <w:r>
              <w:rPr>
                <w:rFonts w:hint="eastAsia" w:ascii="Times New Roman" w:hAnsi="Times New Roman"/>
                <w:color w:val="000000"/>
                <w:lang w:val="en-US" w:eastAsia="zh-CN"/>
              </w:rPr>
              <w:t>中标候选人数量</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lang w:eastAsia="zh-CN"/>
              </w:rPr>
            </w:pPr>
            <w:r>
              <w:rPr>
                <w:rFonts w:hint="eastAsia"/>
                <w:color w:val="000000"/>
                <w:lang w:eastAsia="zh-CN"/>
              </w:rPr>
              <w:t>中标候选人按照不见面开标时唱标页面排序进行展示</w:t>
            </w:r>
            <w:r>
              <w:commentReference w:id="0"/>
            </w:r>
            <w:r>
              <w:rPr>
                <w:rFonts w:hint="eastAsia"/>
                <w:color w:val="000000"/>
              </w:rPr>
              <w:t>，推荐</w:t>
            </w:r>
            <w:r>
              <w:rPr>
                <w:rFonts w:hint="eastAsia"/>
                <w:color w:val="000000"/>
                <w:lang w:eastAsia="zh-CN"/>
              </w:rPr>
              <w:t>中标候选人</w:t>
            </w:r>
            <w:r>
              <w:rPr>
                <w:rFonts w:hint="eastAsia"/>
                <w:color w:val="000000"/>
              </w:rPr>
              <w:t>具体数量</w:t>
            </w:r>
            <w:r>
              <w:rPr>
                <w:rFonts w:hint="eastAsia"/>
                <w:color w:val="000000"/>
                <w:lang w:val="en-US" w:eastAsia="zh-CN"/>
              </w:rPr>
              <w:t>为</w:t>
            </w:r>
            <w:r>
              <w:rPr>
                <w:rFonts w:hint="eastAsia"/>
                <w:color w:val="000000"/>
                <w:u w:val="single"/>
                <w:lang w:val="en-US" w:eastAsia="zh-CN"/>
              </w:rPr>
              <w:t xml:space="preserve">       </w:t>
            </w:r>
            <w:r>
              <w:rPr>
                <w:rFonts w:hint="eastAsia"/>
                <w:color w:val="000000"/>
              </w:rPr>
              <w:t>，</w:t>
            </w:r>
            <w:r>
              <w:rPr>
                <w:rFonts w:hint="eastAsia"/>
                <w:color w:val="000000"/>
                <w:lang w:val="en-US" w:eastAsia="zh-CN"/>
              </w:rPr>
              <w:t>名</w:t>
            </w:r>
            <w:r>
              <w:rPr>
                <w:rFonts w:hint="eastAsia"/>
                <w:color w:val="000000"/>
                <w:lang w:eastAsia="zh-CN"/>
              </w:rPr>
              <w:t>（</w:t>
            </w:r>
            <w:r>
              <w:rPr>
                <w:rFonts w:hint="eastAsia"/>
                <w:color w:val="000000"/>
                <w:lang w:val="en-US" w:eastAsia="zh-CN"/>
              </w:rPr>
              <w:t>原则为</w:t>
            </w:r>
            <w:r>
              <w:rPr>
                <w:rFonts w:hint="eastAsia"/>
                <w:color w:val="000000"/>
              </w:rPr>
              <w:t>3</w:t>
            </w:r>
            <w:r>
              <w:rPr>
                <w:rFonts w:hint="eastAsia"/>
                <w:color w:val="000000"/>
                <w:lang w:eastAsia="zh-CN"/>
              </w:rPr>
              <w:t>—</w:t>
            </w:r>
            <w:r>
              <w:rPr>
                <w:rFonts w:hint="eastAsia"/>
                <w:color w:val="000000"/>
                <w:lang w:val="en-US" w:eastAsia="zh-CN"/>
              </w:rPr>
              <w:t>7名</w:t>
            </w:r>
            <w:r>
              <w:rPr>
                <w:rFonts w:hint="eastAsia"/>
                <w:color w:val="000000"/>
                <w:lang w:eastAsia="zh-CN"/>
              </w:rPr>
              <w:t>）。</w:t>
            </w:r>
          </w:p>
          <w:p>
            <w:pPr>
              <w:keepNext w:val="0"/>
              <w:keepLines w:val="0"/>
              <w:pageBreakBefore w:val="0"/>
              <w:kinsoku/>
              <w:wordWrap/>
              <w:overflowPunct/>
              <w:bidi w:val="0"/>
              <w:spacing w:before="143" w:beforeLines="50" w:after="143" w:afterLines="50" w:line="240" w:lineRule="auto"/>
              <w:textAlignment w:val="auto"/>
              <w:rPr>
                <w:rFonts w:hint="default" w:ascii="Times New Roman" w:hAnsi="Times New Roman" w:eastAsia="宋体"/>
                <w:color w:val="000000"/>
                <w:lang w:val="en-US" w:eastAsia="zh-CN"/>
              </w:rPr>
            </w:pPr>
            <w:r>
              <w:rPr>
                <w:rFonts w:hint="eastAsia" w:ascii="Times New Roman" w:hAnsi="Times New Roman" w:eastAsia="宋体" w:cs="Times New Roman"/>
                <w:color w:val="000000"/>
              </w:rPr>
              <w:t>不足规定的推荐数量，则通过评审的有效投标人全部推荐为</w:t>
            </w:r>
            <w:r>
              <w:rPr>
                <w:rFonts w:hint="eastAsia" w:ascii="Times New Roman" w:hAnsi="Times New Roman" w:cs="Times New Roman"/>
                <w:color w:val="000000"/>
                <w:lang w:eastAsia="zh-CN"/>
              </w:rPr>
              <w:t>中标候选人</w:t>
            </w:r>
            <w:r>
              <w:rPr>
                <w:rFonts w:hint="eastAsia" w:ascii="Times New Roman" w:hAnsi="Times New Roman" w:eastAsia="宋体" w:cs="Times New Roman"/>
                <w:color w:val="000000"/>
              </w:rPr>
              <w:t>。</w:t>
            </w:r>
          </w:p>
        </w:tc>
      </w:tr>
      <w:tr>
        <w:tblPrEx>
          <w:tblCellMar>
            <w:top w:w="0" w:type="dxa"/>
            <w:left w:w="108" w:type="dxa"/>
            <w:bottom w:w="0" w:type="dxa"/>
            <w:right w:w="108" w:type="dxa"/>
          </w:tblCellMar>
        </w:tblPrEx>
        <w:trPr>
          <w:trHeight w:val="88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rPr>
              <w:t>7.1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left"/>
              <w:textAlignment w:val="auto"/>
              <w:rPr>
                <w:rFonts w:hint="default" w:ascii="Times New Roman" w:hAnsi="Times New Roman" w:eastAsia="宋体"/>
                <w:color w:val="000000"/>
                <w:lang w:val="en-US" w:eastAsia="zh-CN"/>
              </w:rPr>
            </w:pPr>
            <w:r>
              <w:rPr>
                <w:rFonts w:hint="eastAsia" w:ascii="Times New Roman" w:hAnsi="Times New Roman"/>
                <w:lang w:val="en-US" w:eastAsia="zh-CN"/>
              </w:rPr>
              <w:t>定标委员会</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ind w:left="630" w:hanging="630" w:hangingChars="300"/>
              <w:jc w:val="both"/>
              <w:textAlignment w:val="auto"/>
              <w:rPr>
                <w:rFonts w:hint="eastAsia"/>
                <w:lang w:val="en-US" w:eastAsia="zh-CN"/>
              </w:rPr>
            </w:pPr>
            <w:r>
              <w:rPr>
                <w:rFonts w:hint="eastAsia"/>
                <w:lang w:val="en-US" w:eastAsia="zh-CN"/>
              </w:rPr>
              <w:t>定标委员会构成：</w:t>
            </w:r>
            <w:r>
              <w:rPr>
                <w:rFonts w:hint="eastAsia"/>
                <w:u w:val="single"/>
                <w:lang w:val="en-US" w:eastAsia="zh-CN"/>
              </w:rPr>
              <w:t xml:space="preserve">    </w:t>
            </w:r>
            <w:r>
              <w:rPr>
                <w:rFonts w:hint="eastAsia"/>
                <w:lang w:val="en-US" w:eastAsia="zh-CN"/>
              </w:rPr>
              <w:t>人，其中招标人成员</w:t>
            </w:r>
            <w:r>
              <w:rPr>
                <w:rFonts w:hint="eastAsia"/>
                <w:u w:val="single"/>
                <w:lang w:val="en-US" w:eastAsia="zh-CN"/>
              </w:rPr>
              <w:t xml:space="preserve">     </w:t>
            </w:r>
            <w:r>
              <w:rPr>
                <w:rFonts w:hint="eastAsia"/>
                <w:lang w:val="en-US" w:eastAsia="zh-CN"/>
              </w:rPr>
              <w:t>人、</w:t>
            </w:r>
          </w:p>
          <w:p>
            <w:pPr>
              <w:keepNext w:val="0"/>
              <w:keepLines w:val="0"/>
              <w:pageBreakBefore w:val="0"/>
              <w:kinsoku/>
              <w:wordWrap/>
              <w:overflowPunct/>
              <w:bidi w:val="0"/>
              <w:spacing w:before="143" w:beforeLines="50" w:after="143" w:afterLines="50" w:line="240" w:lineRule="auto"/>
              <w:jc w:val="both"/>
              <w:textAlignment w:val="auto"/>
              <w:rPr>
                <w:rFonts w:hint="eastAsia"/>
                <w:lang w:val="en-US" w:eastAsia="zh-CN"/>
              </w:rPr>
            </w:pPr>
            <w:r>
              <w:rPr>
                <w:rFonts w:hint="eastAsia"/>
                <w:lang w:val="en-US" w:eastAsia="zh-CN"/>
              </w:rPr>
              <w:t>项目业主成员</w:t>
            </w:r>
            <w:r>
              <w:rPr>
                <w:rFonts w:hint="eastAsia"/>
                <w:u w:val="single"/>
                <w:lang w:val="en-US" w:eastAsia="zh-CN"/>
              </w:rPr>
              <w:t xml:space="preserve">     </w:t>
            </w:r>
            <w:r>
              <w:rPr>
                <w:rFonts w:hint="eastAsia"/>
                <w:lang w:val="en-US" w:eastAsia="zh-CN"/>
              </w:rPr>
              <w:t>人、使用单位成员</w:t>
            </w:r>
            <w:r>
              <w:rPr>
                <w:rFonts w:hint="eastAsia"/>
                <w:u w:val="single"/>
                <w:lang w:val="en-US" w:eastAsia="zh-CN"/>
              </w:rPr>
              <w:t xml:space="preserve">      </w:t>
            </w:r>
            <w:r>
              <w:rPr>
                <w:rFonts w:hint="eastAsia"/>
                <w:lang w:val="en-US" w:eastAsia="zh-CN"/>
              </w:rPr>
              <w:t>人。</w:t>
            </w:r>
          </w:p>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sz w:val="32"/>
              </w:rPr>
            </w:pPr>
            <w:r>
              <w:rPr>
                <w:rFonts w:hint="default"/>
                <w:b/>
                <w:bCs/>
                <w:highlight w:val="none"/>
                <w:lang w:val="en-US" w:eastAsia="zh-CN"/>
              </w:rPr>
              <w:t>招标人负责组建定标委员会。定标委员会实行招标人负责制，由招标人的法定代表人或者主要负责人担任定标委员会组长，成员数量为5人以上单数，应在招标文件中明确。招标人可以指定定标委员会成员，指定成员（含组长）不得超过定标委员会成员总数的三分之一，其他成员按照招标文件中明确的人员类别从定标人员库中按不少于2：1的比例随机产生。</w:t>
            </w:r>
          </w:p>
        </w:tc>
      </w:tr>
      <w:tr>
        <w:tblPrEx>
          <w:tblCellMar>
            <w:top w:w="0" w:type="dxa"/>
            <w:left w:w="108" w:type="dxa"/>
            <w:bottom w:w="0" w:type="dxa"/>
            <w:right w:w="108" w:type="dxa"/>
          </w:tblCellMar>
        </w:tblPrEx>
        <w:trPr>
          <w:trHeight w:val="88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rPr>
              <w:t>.</w:t>
            </w:r>
            <w:r>
              <w:rPr>
                <w:rFonts w:ascii="Times New Roman" w:hAnsi="Times New Roman"/>
                <w:color w:val="000000"/>
              </w:rPr>
              <w:t>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color w:val="000000"/>
              </w:rPr>
            </w:pPr>
            <w:r>
              <w:rPr>
                <w:rFonts w:ascii="Times New Roman" w:hAnsi="Times New Roman"/>
              </w:rPr>
              <w:t>履约保证金</w:t>
            </w:r>
          </w:p>
        </w:tc>
        <w:tc>
          <w:tcPr>
            <w:tcW w:w="5597"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sz w:val="21"/>
                <w:szCs w:val="21"/>
              </w:rPr>
            </w:pPr>
            <w:r>
              <w:rPr>
                <w:rFonts w:ascii="Times New Roman" w:hAnsi="Times New Roman"/>
                <w:sz w:val="21"/>
                <w:szCs w:val="21"/>
              </w:rPr>
              <w:t>是否要求中标人提交履约保证金：</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keepNext w:val="0"/>
              <w:keepLines w:val="0"/>
              <w:pageBreakBefore w:val="0"/>
              <w:kinsoku/>
              <w:wordWrap/>
              <w:overflowPunct/>
              <w:bidi w:val="0"/>
              <w:spacing w:before="143" w:beforeLines="50" w:after="143" w:afterLines="50" w:line="240" w:lineRule="auto"/>
              <w:ind w:firstLine="840" w:firstLineChars="400"/>
              <w:textAlignment w:val="auto"/>
              <w:rPr>
                <w:rFonts w:ascii="Times New Roman" w:hAnsi="Times New Roman"/>
                <w:szCs w:val="21"/>
              </w:rPr>
            </w:pPr>
            <w:r>
              <w:rPr>
                <w:rFonts w:ascii="Times New Roman" w:hAnsi="Times New Roman"/>
                <w:szCs w:val="21"/>
              </w:rPr>
              <w:t>履约保证金的金额：</w:t>
            </w:r>
          </w:p>
          <w:p>
            <w:pPr>
              <w:pStyle w:val="15"/>
              <w:keepNext w:val="0"/>
              <w:keepLines w:val="0"/>
              <w:pageBreakBefore w:val="0"/>
              <w:kinsoku/>
              <w:wordWrap/>
              <w:overflowPunct/>
              <w:topLinePunct/>
              <w:bidi w:val="0"/>
              <w:spacing w:before="143" w:beforeLines="50" w:after="143" w:afterLines="50" w:line="240" w:lineRule="auto"/>
              <w:textAlignment w:val="auto"/>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880"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hint="default" w:ascii="Times New Roman" w:hAnsi="Times New Roman" w:eastAsia="宋体"/>
                <w:color w:val="000000"/>
                <w:lang w:val="en-US" w:eastAsia="zh-CN"/>
              </w:rPr>
            </w:pPr>
            <w:r>
              <w:rPr>
                <w:rFonts w:hint="eastAsia" w:ascii="Times New Roman" w:hAnsi="Times New Roman"/>
                <w:color w:val="000000"/>
                <w:lang w:val="en-US" w:eastAsia="zh-CN"/>
              </w:rPr>
              <w:t>10</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rPr>
            </w:pPr>
            <w:r>
              <w:rPr>
                <w:rFonts w:ascii="Times New Roman" w:hAnsi="Times New Roman" w:eastAsiaTheme="minorEastAsia"/>
              </w:rPr>
              <w:t>是否采用电子招标投标</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sz w:val="32"/>
              </w:rPr>
            </w:pPr>
            <w:r>
              <w:rPr>
                <w:rFonts w:ascii="Times New Roman" w:hAnsi="Times New Roman" w:eastAsiaTheme="minorEastAsia"/>
              </w:rPr>
              <w:t>是</w:t>
            </w:r>
          </w:p>
        </w:tc>
      </w:tr>
      <w:tr>
        <w:tblPrEx>
          <w:tblCellMar>
            <w:top w:w="0" w:type="dxa"/>
            <w:left w:w="108" w:type="dxa"/>
            <w:bottom w:w="0" w:type="dxa"/>
            <w:right w:w="108" w:type="dxa"/>
          </w:tblCellMar>
        </w:tblPrEx>
        <w:trPr>
          <w:trHeight w:val="3045" w:hRule="atLeast"/>
          <w:jc w:val="center"/>
        </w:trPr>
        <w:tc>
          <w:tcPr>
            <w:tcW w:w="9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hint="eastAsia" w:ascii="Times New Roman" w:hAnsi="Times New Roman" w:eastAsia="宋体"/>
                <w:color w:val="000000"/>
                <w:lang w:val="en-US" w:eastAsia="zh-CN"/>
              </w:rPr>
            </w:pPr>
            <w:r>
              <w:rPr>
                <w:rFonts w:ascii="Times New Roman" w:hAnsi="Times New Roman"/>
                <w:color w:val="000000"/>
              </w:rPr>
              <w:t>1</w:t>
            </w:r>
            <w:r>
              <w:rPr>
                <w:rFonts w:hint="eastAsia" w:ascii="Times New Roman" w:hAnsi="Times New Roman"/>
                <w:color w:val="000000"/>
                <w:lang w:val="en-US" w:eastAsia="zh-CN"/>
              </w:rPr>
              <w:t>1</w:t>
            </w:r>
          </w:p>
        </w:tc>
        <w:tc>
          <w:tcPr>
            <w:tcW w:w="27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jc w:val="center"/>
              <w:textAlignment w:val="auto"/>
              <w:rPr>
                <w:rFonts w:ascii="Times New Roman" w:hAnsi="Times New Roman"/>
              </w:rPr>
            </w:pPr>
            <w:r>
              <w:rPr>
                <w:rFonts w:ascii="Times New Roman" w:hAnsi="Times New Roman"/>
              </w:rPr>
              <w:t>需要补充的其他内容</w:t>
            </w:r>
          </w:p>
        </w:tc>
        <w:tc>
          <w:tcPr>
            <w:tcW w:w="55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ascii="Times New Roman" w:hAnsi="Times New Roman"/>
                <w:color w:val="000000"/>
                <w:sz w:val="32"/>
              </w:rPr>
            </w:pP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12" w:name="_Toc27314"/>
      <w:r>
        <w:rPr>
          <w:rFonts w:ascii="Times New Roman" w:hAnsi="Times New Roman"/>
          <w:color w:val="000000"/>
        </w:rPr>
        <w:t>1. 总则</w:t>
      </w:r>
      <w:bookmarkEnd w:id="12"/>
    </w:p>
    <w:p>
      <w:pPr>
        <w:pStyle w:val="4"/>
        <w:spacing w:line="240" w:lineRule="auto"/>
        <w:ind w:firstLine="137"/>
        <w:rPr>
          <w:rFonts w:ascii="Times New Roman" w:hAnsi="Times New Roman"/>
          <w:color w:val="000000"/>
        </w:rPr>
      </w:pPr>
      <w:bookmarkStart w:id="13" w:name="_Toc12627"/>
      <w:r>
        <w:rPr>
          <w:rFonts w:ascii="Times New Roman" w:hAnsi="Times New Roman"/>
          <w:color w:val="000000"/>
        </w:rPr>
        <w:t>1.1 招标项目概况</w:t>
      </w:r>
      <w:bookmarkEnd w:id="13"/>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1.1.1根据《中华人民共和国招标投标法》、《中华人民共和国招标投标法实施条例》等有关法律、法规和规章的规定，本招标项目已具备招标条件，现对监理进行招标。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 招标项目名称：见投标人须知前附表。</w:t>
      </w:r>
    </w:p>
    <w:p>
      <w:pPr>
        <w:spacing w:line="400" w:lineRule="exact"/>
        <w:ind w:firstLine="420" w:firstLineChars="200"/>
        <w:rPr>
          <w:rFonts w:ascii="Times New Roman" w:hAnsi="Times New Roman"/>
        </w:rPr>
      </w:pPr>
      <w:r>
        <w:rPr>
          <w:rFonts w:ascii="Times New Roman" w:hAnsi="Times New Roman"/>
        </w:rPr>
        <w:t>1.1.5 项目建设地点：见投标人须知前附表。</w:t>
      </w:r>
    </w:p>
    <w:p>
      <w:pPr>
        <w:spacing w:line="400" w:lineRule="exact"/>
        <w:ind w:firstLine="420" w:firstLineChars="200"/>
        <w:rPr>
          <w:rFonts w:ascii="Times New Roman" w:hAnsi="Times New Roman"/>
        </w:rPr>
      </w:pPr>
      <w:r>
        <w:rPr>
          <w:rFonts w:ascii="Times New Roman" w:hAnsi="Times New Roman"/>
        </w:rPr>
        <w:t>1.1.6 项目建设规模：见投标人须知前附表。</w:t>
      </w:r>
    </w:p>
    <w:p>
      <w:pPr>
        <w:spacing w:line="400" w:lineRule="exact"/>
        <w:ind w:firstLine="420" w:firstLineChars="200"/>
        <w:rPr>
          <w:rFonts w:ascii="Times New Roman" w:hAnsi="Times New Roman"/>
        </w:rPr>
      </w:pPr>
      <w:r>
        <w:rPr>
          <w:rFonts w:ascii="Times New Roman" w:hAnsi="Times New Roman"/>
        </w:rPr>
        <w:t xml:space="preserve">1.1.7 </w:t>
      </w:r>
      <w:r>
        <w:rPr>
          <w:rFonts w:hint="eastAsia" w:ascii="Times New Roman" w:hAnsi="Times New Roman"/>
        </w:rPr>
        <w:t>工程项目施工预计开工日期和建设周期：见投标人须知前附表。</w:t>
      </w:r>
    </w:p>
    <w:p>
      <w:pPr>
        <w:spacing w:line="400" w:lineRule="exact"/>
        <w:ind w:firstLine="420" w:firstLineChars="200"/>
        <w:rPr>
          <w:rFonts w:ascii="Times New Roman" w:hAnsi="Times New Roman"/>
        </w:rPr>
      </w:pPr>
      <w:r>
        <w:rPr>
          <w:rFonts w:ascii="Times New Roman" w:hAnsi="Times New Roman"/>
        </w:rPr>
        <w:t xml:space="preserve">1.1.8 </w:t>
      </w:r>
      <w:r>
        <w:rPr>
          <w:rFonts w:hint="eastAsia" w:ascii="Times New Roman" w:hAnsi="Times New Roman"/>
        </w:rPr>
        <w:t>建筑安装工程费</w:t>
      </w:r>
      <w:r>
        <w:rPr>
          <w:rFonts w:ascii="Times New Roman" w:hAnsi="Times New Roman"/>
        </w:rPr>
        <w:t>/</w:t>
      </w:r>
      <w:r>
        <w:rPr>
          <w:rFonts w:hint="eastAsia" w:ascii="Times New Roman" w:hAnsi="Times New Roman"/>
        </w:rPr>
        <w:t>工程概算：见投标人须知前附表。</w:t>
      </w:r>
    </w:p>
    <w:p>
      <w:pPr>
        <w:pStyle w:val="4"/>
        <w:spacing w:line="240" w:lineRule="auto"/>
        <w:ind w:firstLine="137"/>
        <w:rPr>
          <w:rFonts w:ascii="Times New Roman" w:hAnsi="Times New Roman"/>
          <w:color w:val="000000"/>
        </w:rPr>
      </w:pPr>
      <w:bookmarkStart w:id="14" w:name="_Toc1427"/>
      <w:r>
        <w:rPr>
          <w:rFonts w:ascii="Times New Roman" w:hAnsi="Times New Roman"/>
          <w:color w:val="000000"/>
        </w:rPr>
        <w:t>1.2 招标项目的资金来源和落实情况</w:t>
      </w:r>
      <w:bookmarkEnd w:id="14"/>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4"/>
        <w:spacing w:line="240" w:lineRule="auto"/>
        <w:ind w:firstLine="137"/>
        <w:rPr>
          <w:rFonts w:ascii="Times New Roman" w:hAnsi="Times New Roman"/>
          <w:color w:val="000000"/>
        </w:rPr>
      </w:pPr>
      <w:bookmarkStart w:id="15" w:name="_Toc16285"/>
      <w:r>
        <w:rPr>
          <w:rFonts w:ascii="Times New Roman" w:hAnsi="Times New Roman"/>
          <w:color w:val="000000"/>
        </w:rPr>
        <w:t>1.3招标范围、监理服务期限和质量标准</w:t>
      </w:r>
      <w:bookmarkEnd w:id="15"/>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监理服务期限：见投标人须知前附表。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质量标准：见投标人须知前附表。</w:t>
      </w:r>
    </w:p>
    <w:p>
      <w:pPr>
        <w:pStyle w:val="4"/>
        <w:spacing w:line="240" w:lineRule="auto"/>
        <w:ind w:firstLine="137"/>
        <w:rPr>
          <w:rFonts w:ascii="Times New Roman" w:hAnsi="Times New Roman"/>
          <w:color w:val="000000"/>
        </w:rPr>
      </w:pPr>
      <w:bookmarkStart w:id="16" w:name="_Toc8082"/>
      <w:r>
        <w:rPr>
          <w:rFonts w:ascii="Times New Roman" w:hAnsi="Times New Roman"/>
          <w:color w:val="000000"/>
        </w:rPr>
        <w:t>1.4投标人资格要求</w:t>
      </w:r>
      <w:bookmarkEnd w:id="16"/>
    </w:p>
    <w:p>
      <w:pPr>
        <w:spacing w:line="400" w:lineRule="exact"/>
        <w:ind w:firstLine="420" w:firstLineChars="200"/>
        <w:rPr>
          <w:rFonts w:hint="eastAsia" w:ascii="Times New Roman" w:hAnsi="Times New Roman" w:eastAsia="宋体"/>
          <w:lang w:eastAsia="zh-CN"/>
        </w:rPr>
      </w:pPr>
      <w:r>
        <w:rPr>
          <w:rFonts w:ascii="Times New Roman" w:hAnsi="Times New Roman"/>
          <w:color w:val="000000"/>
        </w:rPr>
        <w:t>1.4.1 投标人应具备承担本招标项目资质条件、能力和信誉</w:t>
      </w:r>
      <w:r>
        <w:rPr>
          <w:rFonts w:ascii="Times New Roman" w:hAnsi="Times New Roman"/>
        </w:rPr>
        <w:t>：见投标人须知前附表</w:t>
      </w:r>
      <w:r>
        <w:rPr>
          <w:rFonts w:hint="eastAsia" w:ascii="Times New Roman" w:hAnsi="Times New Roman"/>
          <w:lang w:eastAsia="zh-CN"/>
        </w:rPr>
        <w:t>；</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highlight w:val="none"/>
        </w:rPr>
      </w:pPr>
      <w:r>
        <w:rPr>
          <w:rFonts w:ascii="Times New Roman" w:hAnsi="Times New Roman"/>
          <w:highlight w:val="none"/>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highlight w:val="none"/>
        </w:rPr>
      </w:pPr>
      <w:r>
        <w:rPr>
          <w:rFonts w:ascii="Times New Roman" w:hAnsi="Times New Roman"/>
          <w:highlight w:val="none"/>
        </w:rPr>
        <w:t>（2）由同一专业的单位组成的联合体，按照资质等级较低的单位确定资质等级；</w:t>
      </w:r>
    </w:p>
    <w:p>
      <w:pPr>
        <w:spacing w:line="400" w:lineRule="exact"/>
        <w:ind w:firstLine="315" w:firstLineChars="150"/>
        <w:rPr>
          <w:rFonts w:ascii="Times New Roman" w:hAnsi="Times New Roman"/>
          <w:highlight w:val="none"/>
        </w:rPr>
      </w:pPr>
      <w:r>
        <w:rPr>
          <w:rFonts w:ascii="Times New Roman" w:hAnsi="Times New Roman"/>
          <w:highlight w:val="none"/>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hint="eastAsia" w:ascii="Times New Roman" w:hAnsi="Times New Roman"/>
        </w:rPr>
      </w:pPr>
      <w:r>
        <w:rPr>
          <w:rFonts w:hint="eastAsia" w:ascii="Times New Roman" w:hAnsi="Times New Roman"/>
        </w:rPr>
        <w:t>（1）为招标人不具有独立法人资格的附属机构（单位）；</w:t>
      </w:r>
    </w:p>
    <w:p>
      <w:pPr>
        <w:spacing w:line="400" w:lineRule="exact"/>
        <w:ind w:firstLine="420" w:firstLineChars="200"/>
        <w:rPr>
          <w:rFonts w:hint="eastAsia" w:ascii="Times New Roman" w:hAnsi="Times New Roman"/>
        </w:rPr>
      </w:pPr>
      <w:r>
        <w:rPr>
          <w:rFonts w:hint="eastAsia" w:ascii="Times New Roman" w:hAnsi="Times New Roman"/>
        </w:rPr>
        <w:t>（2）与招标人存在利害关系且可能影响招标公正性；</w:t>
      </w:r>
    </w:p>
    <w:p>
      <w:pPr>
        <w:spacing w:line="400" w:lineRule="exact"/>
        <w:ind w:firstLine="420" w:firstLineChars="200"/>
        <w:rPr>
          <w:rFonts w:hint="eastAsia" w:ascii="Times New Roman" w:hAnsi="Times New Roman"/>
        </w:rPr>
      </w:pPr>
      <w:r>
        <w:rPr>
          <w:rFonts w:hint="eastAsia" w:ascii="Times New Roman" w:hAnsi="Times New Roman"/>
        </w:rPr>
        <w:t>（3）与本招标项目的其他投标人为同一个单位负责人；</w:t>
      </w:r>
    </w:p>
    <w:p>
      <w:pPr>
        <w:spacing w:line="400" w:lineRule="exact"/>
        <w:ind w:firstLine="420" w:firstLineChars="200"/>
        <w:rPr>
          <w:rFonts w:hint="eastAsia" w:ascii="Times New Roman" w:hAnsi="Times New Roman"/>
        </w:rPr>
      </w:pPr>
      <w:r>
        <w:rPr>
          <w:rFonts w:hint="eastAsia" w:ascii="Times New Roman" w:hAnsi="Times New Roman"/>
        </w:rPr>
        <w:t>（4）与本招标项目的其他投标人存在控股、管理关系；</w:t>
      </w:r>
    </w:p>
    <w:p>
      <w:pPr>
        <w:spacing w:line="400" w:lineRule="exact"/>
        <w:ind w:firstLine="420" w:firstLineChars="200"/>
        <w:rPr>
          <w:rFonts w:hint="eastAsia" w:ascii="Times New Roman" w:hAnsi="Times New Roman"/>
        </w:rPr>
      </w:pPr>
      <w:r>
        <w:rPr>
          <w:rFonts w:hint="eastAsia" w:ascii="Times New Roman" w:hAnsi="Times New Roman"/>
        </w:rPr>
        <w:t>（5）为本招标项目的代建人；</w:t>
      </w:r>
    </w:p>
    <w:p>
      <w:pPr>
        <w:spacing w:line="400" w:lineRule="exact"/>
        <w:ind w:firstLine="420" w:firstLineChars="200"/>
        <w:rPr>
          <w:rFonts w:hint="eastAsia" w:ascii="Times New Roman" w:hAnsi="Times New Roman"/>
        </w:rPr>
      </w:pPr>
      <w:r>
        <w:rPr>
          <w:rFonts w:hint="eastAsia" w:ascii="Times New Roman" w:hAnsi="Times New Roman"/>
        </w:rPr>
        <w:t>（6）为本招标项目的招标代理机构；</w:t>
      </w:r>
    </w:p>
    <w:p>
      <w:pPr>
        <w:spacing w:line="400" w:lineRule="exact"/>
        <w:ind w:firstLine="420" w:firstLineChars="200"/>
        <w:rPr>
          <w:rFonts w:hint="eastAsia" w:ascii="Times New Roman" w:hAnsi="Times New Roman"/>
        </w:rPr>
      </w:pPr>
      <w:r>
        <w:rPr>
          <w:rFonts w:hint="eastAsia" w:ascii="Times New Roman" w:hAnsi="Times New Roman"/>
        </w:rPr>
        <w:t>（7）与本招标项目的代建人或招标代理机构同为一个法定代表人；</w:t>
      </w:r>
    </w:p>
    <w:p>
      <w:pPr>
        <w:spacing w:line="400" w:lineRule="exact"/>
        <w:ind w:firstLine="420" w:firstLineChars="200"/>
        <w:rPr>
          <w:rFonts w:hint="eastAsia" w:ascii="Times New Roman" w:hAnsi="Times New Roman"/>
        </w:rPr>
      </w:pPr>
      <w:r>
        <w:rPr>
          <w:rFonts w:hint="eastAsia" w:ascii="Times New Roman" w:hAnsi="Times New Roman"/>
        </w:rPr>
        <w:t>（8）与本招标项目的代建人或招标代理机构存在控股或参股关系；</w:t>
      </w:r>
    </w:p>
    <w:p>
      <w:pPr>
        <w:spacing w:line="400" w:lineRule="exact"/>
        <w:ind w:firstLine="420" w:firstLineChars="200"/>
        <w:rPr>
          <w:rFonts w:hint="eastAsia" w:ascii="Times New Roman" w:hAnsi="Times New Roman"/>
        </w:rPr>
      </w:pPr>
      <w:r>
        <w:rPr>
          <w:rFonts w:hint="eastAsia" w:ascii="Times New Roman" w:hAnsi="Times New Roman"/>
        </w:rPr>
        <w:t>（9）与本招标项目的施工承包人以及建筑材料、建筑构配件和设备供应商有隶属关系或者其他利害关系；</w:t>
      </w:r>
    </w:p>
    <w:p>
      <w:pPr>
        <w:spacing w:line="400" w:lineRule="exact"/>
        <w:ind w:firstLine="420" w:firstLineChars="200"/>
        <w:rPr>
          <w:rFonts w:hint="eastAsia" w:ascii="Times New Roman" w:hAnsi="Times New Roman"/>
        </w:rPr>
      </w:pPr>
      <w:r>
        <w:rPr>
          <w:rFonts w:hint="eastAsia" w:ascii="Times New Roman" w:hAnsi="Times New Roman"/>
        </w:rPr>
        <w:t>（10）被依法暂停或者取消</w:t>
      </w:r>
      <w:r>
        <w:rPr>
          <w:rFonts w:hint="eastAsia" w:ascii="Times New Roman" w:hAnsi="Times New Roman"/>
          <w:lang w:val="en-US" w:eastAsia="zh-CN"/>
        </w:rPr>
        <w:t>在项目所在地</w:t>
      </w:r>
      <w:r>
        <w:rPr>
          <w:rFonts w:hint="eastAsia" w:ascii="Times New Roman" w:hAnsi="Times New Roman"/>
        </w:rPr>
        <w:t>投标资格；</w:t>
      </w:r>
    </w:p>
    <w:p>
      <w:pPr>
        <w:spacing w:line="400" w:lineRule="exact"/>
        <w:ind w:firstLine="420" w:firstLineChars="200"/>
        <w:rPr>
          <w:rFonts w:hint="eastAsia" w:ascii="Times New Roman" w:hAnsi="Times New Roman"/>
        </w:rPr>
      </w:pPr>
      <w:r>
        <w:rPr>
          <w:rFonts w:hint="eastAsia" w:ascii="Times New Roman" w:hAnsi="Times New Roman"/>
        </w:rPr>
        <w:t>（11）被责令停产停业、暂扣或者吊销许可证、暂扣或者吊销执照；</w:t>
      </w:r>
    </w:p>
    <w:p>
      <w:pPr>
        <w:spacing w:line="400" w:lineRule="exact"/>
        <w:ind w:firstLine="420" w:firstLineChars="200"/>
        <w:rPr>
          <w:rFonts w:hint="eastAsia" w:ascii="Times New Roman" w:hAnsi="Times New Roman"/>
        </w:rPr>
      </w:pPr>
      <w:r>
        <w:rPr>
          <w:rFonts w:hint="eastAsia" w:ascii="Times New Roman" w:hAnsi="Times New Roman"/>
        </w:rPr>
        <w:t>（12）进入清算程序，或被宣告破产，或其他丧失履约能力的情形；</w:t>
      </w:r>
    </w:p>
    <w:p>
      <w:pPr>
        <w:spacing w:line="400" w:lineRule="exact"/>
        <w:ind w:firstLine="420" w:firstLineChars="200"/>
        <w:rPr>
          <w:rFonts w:hint="eastAsia" w:ascii="Times New Roman" w:hAnsi="Times New Roman"/>
        </w:rPr>
      </w:pPr>
      <w:r>
        <w:rPr>
          <w:rFonts w:hint="eastAsia" w:ascii="Times New Roman" w:hAnsi="Times New Roman"/>
        </w:rPr>
        <w:t>（13）在最近三年内发生重大监理质量问题(以(具有管辖权)相关行业主管部门的行政处罚决或司法机关出具的有关法律文书为准)；</w:t>
      </w:r>
    </w:p>
    <w:p>
      <w:pPr>
        <w:spacing w:line="400" w:lineRule="exact"/>
        <w:ind w:firstLine="420" w:firstLineChars="200"/>
        <w:rPr>
          <w:rFonts w:hint="eastAsia" w:ascii="Times New Roman" w:hAnsi="Times New Roman"/>
        </w:rPr>
      </w:pPr>
      <w:r>
        <w:rPr>
          <w:rFonts w:hint="eastAsia" w:ascii="Times New Roman" w:hAnsi="Times New Roman"/>
        </w:rPr>
        <w:t>（14）在“信用中国”网站（www.creditchina.gov.cn）中列入失信被执行人名单、严重违法失信企业名单；</w:t>
      </w:r>
    </w:p>
    <w:p>
      <w:pPr>
        <w:spacing w:line="400" w:lineRule="exact"/>
        <w:ind w:firstLine="420" w:firstLineChars="200"/>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w:t>
      </w:r>
      <w:r>
        <w:commentReference w:id="1"/>
      </w:r>
      <w:r>
        <w:rPr>
          <w:rFonts w:hint="eastAsia" w:ascii="Times New Roman" w:hAnsi="Times New Roman"/>
        </w:rPr>
        <w:t>法律法规或投标人须知前附表规定的其他情形。</w:t>
      </w:r>
    </w:p>
    <w:p>
      <w:pPr>
        <w:pStyle w:val="4"/>
        <w:spacing w:line="240" w:lineRule="auto"/>
        <w:ind w:firstLine="137"/>
        <w:rPr>
          <w:rFonts w:ascii="Times New Roman" w:hAnsi="Times New Roman"/>
          <w:color w:val="000000"/>
        </w:rPr>
      </w:pPr>
      <w:bookmarkStart w:id="17" w:name="_Toc32298"/>
      <w:r>
        <w:rPr>
          <w:rFonts w:ascii="Times New Roman" w:hAnsi="Times New Roman"/>
          <w:color w:val="000000"/>
        </w:rPr>
        <w:t xml:space="preserve">1.5 </w:t>
      </w:r>
      <w:r>
        <w:rPr>
          <w:rFonts w:hint="eastAsia" w:ascii="Times New Roman" w:hAnsi="Times New Roman"/>
          <w:color w:val="000000"/>
        </w:rPr>
        <w:t>费用承担</w:t>
      </w:r>
      <w:bookmarkEnd w:id="17"/>
    </w:p>
    <w:p>
      <w:pPr>
        <w:spacing w:line="400" w:lineRule="exact"/>
        <w:ind w:firstLine="420" w:firstLineChars="200"/>
        <w:rPr>
          <w:rFonts w:hint="eastAsia" w:ascii="Times New Roman" w:hAnsi="Times New Roman"/>
        </w:rPr>
      </w:pPr>
      <w:r>
        <w:rPr>
          <w:rFonts w:hint="eastAsia" w:ascii="Times New Roman" w:hAnsi="Times New Roman"/>
        </w:rPr>
        <w:t>投标人准备和参加投标活动发生的费用自理。</w:t>
      </w:r>
    </w:p>
    <w:p>
      <w:pPr>
        <w:spacing w:line="400" w:lineRule="exact"/>
        <w:ind w:firstLine="420" w:firstLineChars="200"/>
        <w:rPr>
          <w:rFonts w:ascii="Times New Roman" w:hAnsi="Times New Roman"/>
        </w:rPr>
      </w:pPr>
      <w:r>
        <w:rPr>
          <w:rFonts w:hint="eastAsia" w:ascii="Times New Roman" w:hAnsi="Times New Roman"/>
        </w:rPr>
        <w:t>根据《内蒙古自治区促进建筑业高质量发展的若干措施》（内政办发〔2022〕58号），不得将应由招标人承担的招标代理服务费用转嫁给中标企业。</w:t>
      </w:r>
    </w:p>
    <w:p>
      <w:pPr>
        <w:pStyle w:val="4"/>
        <w:spacing w:line="240" w:lineRule="auto"/>
        <w:ind w:firstLine="137"/>
        <w:rPr>
          <w:rFonts w:ascii="Times New Roman" w:hAnsi="Times New Roman"/>
          <w:color w:val="000000"/>
        </w:rPr>
      </w:pPr>
      <w:bookmarkStart w:id="18" w:name="_Toc11495"/>
      <w:r>
        <w:rPr>
          <w:rFonts w:ascii="Times New Roman" w:hAnsi="Times New Roman"/>
          <w:color w:val="000000"/>
        </w:rPr>
        <w:t>1.6</w:t>
      </w:r>
      <w:r>
        <w:rPr>
          <w:rFonts w:hint="eastAsia" w:ascii="Times New Roman" w:hAnsi="Times New Roman"/>
          <w:color w:val="000000"/>
        </w:rPr>
        <w:t>保密</w:t>
      </w:r>
      <w:bookmarkEnd w:id="18"/>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19" w:name="_Toc5326"/>
      <w:bookmarkStart w:id="20" w:name="_Toc361508589"/>
      <w:bookmarkStart w:id="21" w:name="_Toc369531519"/>
      <w:bookmarkStart w:id="22" w:name="_Toc352691477"/>
      <w:bookmarkStart w:id="23" w:name="_Toc384308214"/>
      <w:r>
        <w:rPr>
          <w:rFonts w:ascii="Times New Roman" w:hAnsi="Times New Roman"/>
          <w:color w:val="000000"/>
        </w:rPr>
        <w:t>的商业和技术等秘密保密</w:t>
      </w:r>
      <w:bookmarkEnd w:id="19"/>
      <w:bookmarkEnd w:id="20"/>
      <w:bookmarkEnd w:id="21"/>
      <w:bookmarkEnd w:id="22"/>
      <w:bookmarkEnd w:id="23"/>
      <w:r>
        <w:rPr>
          <w:rFonts w:ascii="Times New Roman" w:hAnsi="Times New Roman"/>
          <w:color w:val="000000"/>
        </w:rPr>
        <w:t>，否则应承担相应的法律责任。</w:t>
      </w:r>
    </w:p>
    <w:p>
      <w:pPr>
        <w:pStyle w:val="4"/>
        <w:spacing w:line="240" w:lineRule="auto"/>
        <w:ind w:firstLine="137"/>
        <w:rPr>
          <w:rFonts w:ascii="Times New Roman" w:hAnsi="Times New Roman"/>
          <w:color w:val="000000"/>
        </w:rPr>
      </w:pPr>
      <w:bookmarkStart w:id="24" w:name="_Toc12112"/>
      <w:r>
        <w:rPr>
          <w:rFonts w:ascii="Times New Roman" w:hAnsi="Times New Roman"/>
          <w:color w:val="000000"/>
        </w:rPr>
        <w:t>1.7 语言文字</w:t>
      </w:r>
      <w:bookmarkEnd w:id="24"/>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4"/>
        <w:spacing w:line="240" w:lineRule="auto"/>
        <w:ind w:firstLine="137"/>
        <w:rPr>
          <w:rFonts w:ascii="Times New Roman" w:hAnsi="Times New Roman"/>
          <w:color w:val="000000"/>
        </w:rPr>
      </w:pPr>
      <w:bookmarkStart w:id="25" w:name="_Toc29097"/>
      <w:r>
        <w:rPr>
          <w:rFonts w:ascii="Times New Roman" w:hAnsi="Times New Roman"/>
          <w:color w:val="000000"/>
        </w:rPr>
        <w:t>1.8计量单位</w:t>
      </w:r>
      <w:bookmarkEnd w:id="25"/>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4"/>
        <w:spacing w:line="240" w:lineRule="auto"/>
        <w:ind w:firstLine="137"/>
        <w:rPr>
          <w:rFonts w:ascii="Times New Roman" w:hAnsi="Times New Roman"/>
          <w:color w:val="000000"/>
        </w:rPr>
      </w:pPr>
      <w:bookmarkStart w:id="26" w:name="_Toc11666"/>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分包</w:t>
      </w:r>
      <w:bookmarkEnd w:id="26"/>
    </w:p>
    <w:p>
      <w:pPr>
        <w:spacing w:line="400" w:lineRule="exact"/>
        <w:ind w:firstLine="420" w:firstLineChars="200"/>
        <w:rPr>
          <w:rFonts w:ascii="Times New Roman" w:hAnsi="Times New Roman"/>
          <w:color w:val="000000"/>
        </w:rPr>
      </w:pPr>
      <w:r>
        <w:rPr>
          <w:rFonts w:ascii="Times New Roman" w:hAnsi="Times New Roman"/>
          <w:color w:val="000000"/>
        </w:rPr>
        <w:t>本项目严禁分包。</w:t>
      </w:r>
    </w:p>
    <w:p>
      <w:pPr>
        <w:pStyle w:val="4"/>
        <w:spacing w:line="240" w:lineRule="auto"/>
        <w:ind w:firstLine="137"/>
        <w:rPr>
          <w:rFonts w:ascii="Times New Roman" w:hAnsi="Times New Roman"/>
          <w:color w:val="000000"/>
        </w:rPr>
      </w:pPr>
      <w:bookmarkStart w:id="27" w:name="_Toc4588"/>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响应和偏差</w:t>
      </w:r>
      <w:bookmarkEnd w:id="27"/>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 xml:space="preserve">.2 </w:t>
      </w:r>
      <w:r>
        <w:rPr>
          <w:rFonts w:ascii="Times New Roman" w:hAnsi="Times New Roman"/>
          <w:szCs w:val="21"/>
        </w:rPr>
        <w:t>投标人应根据招标文件的要求提供</w:t>
      </w:r>
      <w:r>
        <w:rPr>
          <w:rFonts w:ascii="Times New Roman" w:hAnsi="Times New Roman"/>
        </w:rPr>
        <w:t>投标监理大纲等内容以对招标文件作出响应。</w:t>
      </w:r>
    </w:p>
    <w:p>
      <w:pPr>
        <w:spacing w:line="400" w:lineRule="exact"/>
        <w:ind w:firstLine="435"/>
        <w:rPr>
          <w:rFonts w:ascii="Times New Roman" w:hAnsi="Times New Roman"/>
        </w:rPr>
      </w:pPr>
      <w:r>
        <w:rPr>
          <w:rFonts w:ascii="Times New Roman" w:hAnsi="Times New Roman"/>
        </w:rPr>
        <w:t>1.1</w:t>
      </w:r>
      <w:r>
        <w:rPr>
          <w:rFonts w:hint="eastAsia" w:ascii="Times New Roman" w:hAnsi="Times New Roman"/>
          <w:lang w:val="en-US" w:eastAsia="zh-CN"/>
        </w:rPr>
        <w:t>0</w:t>
      </w:r>
      <w:r>
        <w:rPr>
          <w:rFonts w:ascii="Times New Roman" w:hAnsi="Times New Roman"/>
        </w:rPr>
        <w:t>.3投标人须知前附表允许投标文件偏离招标文件某些要求的，偏差应当符合招标文件规定的偏差范围和幅度。</w:t>
      </w:r>
    </w:p>
    <w:p>
      <w:pPr>
        <w:pStyle w:val="3"/>
        <w:rPr>
          <w:rFonts w:ascii="Times New Roman" w:hAnsi="Times New Roman"/>
          <w:color w:val="000000"/>
        </w:rPr>
      </w:pPr>
      <w:bookmarkStart w:id="28" w:name="_Toc31181"/>
      <w:r>
        <w:rPr>
          <w:rFonts w:ascii="Times New Roman" w:hAnsi="Times New Roman"/>
          <w:color w:val="000000"/>
        </w:rPr>
        <w:t>2. 招标文件</w:t>
      </w:r>
      <w:bookmarkEnd w:id="28"/>
    </w:p>
    <w:p>
      <w:pPr>
        <w:pStyle w:val="4"/>
        <w:spacing w:line="240" w:lineRule="auto"/>
        <w:ind w:firstLine="137"/>
        <w:rPr>
          <w:rFonts w:ascii="Times New Roman" w:hAnsi="Times New Roman"/>
          <w:color w:val="000000"/>
        </w:rPr>
      </w:pPr>
      <w:bookmarkStart w:id="29" w:name="_Toc11214"/>
      <w:r>
        <w:rPr>
          <w:rFonts w:ascii="Times New Roman" w:hAnsi="Times New Roman"/>
          <w:color w:val="000000"/>
        </w:rPr>
        <w:t>2.1 招标文件的组成</w:t>
      </w:r>
      <w:bookmarkEnd w:id="29"/>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hint="default" w:ascii="Times New Roman" w:hAnsi="Times New Roman" w:eastAsia="宋体"/>
          <w:color w:val="000000"/>
          <w:lang w:val="en-US" w:eastAsia="zh-CN"/>
        </w:rPr>
      </w:pPr>
      <w:r>
        <w:rPr>
          <w:rFonts w:hint="eastAsia" w:ascii="Times New Roman" w:hAnsi="Times New Roman"/>
          <w:color w:val="000000"/>
          <w:lang w:eastAsia="zh-CN"/>
        </w:rPr>
        <w:t>（</w:t>
      </w:r>
      <w:r>
        <w:rPr>
          <w:rFonts w:hint="eastAsia" w:ascii="Times New Roman" w:hAnsi="Times New Roman"/>
          <w:color w:val="000000"/>
          <w:lang w:val="en-US" w:eastAsia="zh-CN"/>
        </w:rPr>
        <w:t>4</w:t>
      </w:r>
      <w:r>
        <w:rPr>
          <w:rFonts w:hint="eastAsia" w:ascii="Times New Roman" w:hAnsi="Times New Roman"/>
          <w:color w:val="000000"/>
          <w:lang w:eastAsia="zh-CN"/>
        </w:rPr>
        <w:t>）</w:t>
      </w:r>
      <w:r>
        <w:rPr>
          <w:rFonts w:hint="eastAsia" w:ascii="Times New Roman" w:hAnsi="Times New Roman"/>
          <w:color w:val="000000"/>
          <w:lang w:val="en-US" w:eastAsia="zh-CN"/>
        </w:rPr>
        <w:t>定标办法；</w:t>
      </w:r>
    </w:p>
    <w:p>
      <w:pPr>
        <w:spacing w:line="400" w:lineRule="exact"/>
        <w:ind w:firstLine="359" w:firstLineChars="171"/>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）合同条款及格式；</w:t>
      </w:r>
    </w:p>
    <w:p>
      <w:pPr>
        <w:spacing w:line="400" w:lineRule="exact"/>
        <w:ind w:firstLine="359" w:firstLineChars="171"/>
        <w:rPr>
          <w:rFonts w:ascii="Times New Roman" w:hAnsi="Times New Roman"/>
        </w:rPr>
      </w:pP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w:t>
      </w:r>
      <w:r>
        <w:rPr>
          <w:rFonts w:ascii="Times New Roman" w:hAnsi="Times New Roman"/>
        </w:rPr>
        <w:t>委托人要求；</w:t>
      </w:r>
    </w:p>
    <w:p>
      <w:pPr>
        <w:spacing w:line="400" w:lineRule="exact"/>
        <w:ind w:firstLine="359" w:firstLineChars="171"/>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）投标文件格式；</w:t>
      </w:r>
    </w:p>
    <w:p>
      <w:pPr>
        <w:spacing w:line="400" w:lineRule="exact"/>
        <w:ind w:firstLine="359" w:firstLineChars="171"/>
        <w:rPr>
          <w:rFonts w:ascii="Times New Roman" w:hAnsi="Times New Roman"/>
          <w:color w:val="000000"/>
        </w:rPr>
      </w:pPr>
      <w:r>
        <w:rPr>
          <w:rFonts w:ascii="Times New Roman" w:hAnsi="Times New Roman"/>
        </w:rPr>
        <w:t>（</w:t>
      </w:r>
      <w:r>
        <w:rPr>
          <w:rFonts w:hint="eastAsia" w:ascii="Times New Roman" w:hAnsi="Times New Roman"/>
          <w:lang w:val="en-US" w:eastAsia="zh-CN"/>
        </w:rPr>
        <w:t>8</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highlight w:val="none"/>
        </w:rPr>
      </w:pPr>
      <w:r>
        <w:rPr>
          <w:rFonts w:ascii="Times New Roman" w:hAnsi="Times New Roman"/>
          <w:color w:val="000000"/>
          <w:highlight w:val="none"/>
        </w:rPr>
        <w:t>根据本章第2.2款和第2.3款对招标文件所作的澄清、修改，构成招标文件的组成部分。</w:t>
      </w:r>
    </w:p>
    <w:p>
      <w:pPr>
        <w:pStyle w:val="4"/>
        <w:spacing w:line="240" w:lineRule="auto"/>
        <w:ind w:firstLine="137"/>
        <w:rPr>
          <w:rFonts w:ascii="Times New Roman" w:hAnsi="Times New Roman"/>
          <w:color w:val="000000"/>
        </w:rPr>
      </w:pPr>
      <w:bookmarkStart w:id="30" w:name="_Toc8085"/>
      <w:r>
        <w:rPr>
          <w:rFonts w:ascii="Times New Roman" w:hAnsi="Times New Roman"/>
          <w:color w:val="000000"/>
        </w:rPr>
        <w:t>2.2 招标文件的澄清</w:t>
      </w:r>
      <w:bookmarkEnd w:id="30"/>
    </w:p>
    <w:p>
      <w:pPr>
        <w:spacing w:line="400" w:lineRule="exact"/>
        <w:ind w:firstLine="420" w:firstLineChars="200"/>
        <w:rPr>
          <w:rFonts w:ascii="Times New Roman" w:hAnsi="Times New Roman"/>
          <w:color w:val="000000"/>
        </w:rPr>
      </w:pPr>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w:t>
      </w:r>
      <w:r>
        <w:rPr>
          <w:rFonts w:hint="eastAsia" w:ascii="Times New Roman" w:hAnsi="Times New Roman"/>
          <w:color w:val="000000"/>
          <w:lang w:val="en-US" w:eastAsia="zh-CN"/>
        </w:rPr>
        <w:t>下载</w:t>
      </w:r>
      <w:r>
        <w:rPr>
          <w:rFonts w:ascii="Times New Roman" w:hAnsi="Times New Roman"/>
          <w:color w:val="000000"/>
        </w:rPr>
        <w:t>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除非招标人认为确有必要答复，否则，招标人有权拒绝回复投标人在</w:t>
      </w:r>
      <w:r>
        <w:rPr>
          <w:rFonts w:hint="eastAsia" w:ascii="Times New Roman" w:hAnsi="Times New Roman"/>
          <w:color w:val="000000"/>
        </w:rPr>
        <w:t>本章第2.2.1项</w:t>
      </w:r>
      <w:r>
        <w:rPr>
          <w:rFonts w:ascii="Times New Roman" w:hAnsi="Times New Roman"/>
          <w:color w:val="000000"/>
        </w:rPr>
        <w:t>规定的时间后的任何澄清要求。</w:t>
      </w:r>
    </w:p>
    <w:p>
      <w:pPr>
        <w:pStyle w:val="4"/>
        <w:spacing w:line="240" w:lineRule="auto"/>
        <w:ind w:firstLine="137"/>
        <w:rPr>
          <w:rFonts w:ascii="Times New Roman" w:hAnsi="Times New Roman"/>
          <w:color w:val="000000"/>
        </w:rPr>
      </w:pPr>
      <w:bookmarkStart w:id="31" w:name="_Toc4817"/>
      <w:bookmarkStart w:id="32" w:name="_Toc352691479"/>
      <w:r>
        <w:rPr>
          <w:rFonts w:ascii="Times New Roman" w:hAnsi="Times New Roman"/>
          <w:color w:val="000000"/>
        </w:rPr>
        <w:t>2.3 招标文件的修</w:t>
      </w:r>
      <w:bookmarkStart w:id="33" w:name="_Toc369531521"/>
      <w:bookmarkStart w:id="34" w:name="_Toc16514"/>
      <w:r>
        <w:rPr>
          <w:rFonts w:ascii="Times New Roman" w:hAnsi="Times New Roman"/>
          <w:color w:val="000000"/>
        </w:rPr>
        <w:t>改</w:t>
      </w:r>
      <w:bookmarkEnd w:id="31"/>
    </w:p>
    <w:p>
      <w:pPr>
        <w:spacing w:line="400" w:lineRule="exact"/>
        <w:ind w:firstLine="420" w:firstLineChars="200"/>
        <w:rPr>
          <w:rFonts w:ascii="Times New Roman" w:hAnsi="Times New Roman"/>
          <w:color w:val="000000"/>
        </w:rPr>
      </w:pPr>
      <w:r>
        <w:rPr>
          <w:rFonts w:ascii="Times New Roman" w:hAnsi="Times New Roman"/>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32"/>
    <w:bookmarkEnd w:id="33"/>
    <w:bookmarkEnd w:id="34"/>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35" w:name="_Toc384308218"/>
      <w:bookmarkStart w:id="36" w:name="_Toc300834958"/>
      <w:bookmarkStart w:id="37" w:name="_Toc352691482"/>
      <w:bookmarkStart w:id="38" w:name="_Toc361508593"/>
      <w:bookmarkStart w:id="39" w:name="_Toc369531524"/>
      <w:bookmarkStart w:id="40" w:name="_Toc247527562"/>
      <w:bookmarkStart w:id="41" w:name="_Toc152045538"/>
      <w:bookmarkStart w:id="42" w:name="_Toc247513961"/>
      <w:bookmarkStart w:id="43" w:name="_Toc152042314"/>
      <w:bookmarkStart w:id="44" w:name="_Toc24632"/>
      <w:bookmarkStart w:id="45" w:name="_Toc144974506"/>
      <w:r>
        <w:rPr>
          <w:rFonts w:ascii="Times New Roman" w:hAnsi="Times New Roman"/>
          <w:color w:val="000000"/>
        </w:rPr>
        <w:t>后，</w:t>
      </w:r>
      <w:bookmarkEnd w:id="35"/>
      <w:bookmarkEnd w:id="36"/>
      <w:bookmarkEnd w:id="37"/>
      <w:bookmarkEnd w:id="38"/>
      <w:bookmarkEnd w:id="39"/>
      <w:bookmarkEnd w:id="40"/>
      <w:bookmarkEnd w:id="41"/>
      <w:bookmarkEnd w:id="42"/>
      <w:bookmarkEnd w:id="43"/>
      <w:bookmarkEnd w:id="44"/>
      <w:bookmarkEnd w:id="45"/>
      <w:bookmarkStart w:id="46" w:name="_Toc247527564"/>
      <w:bookmarkStart w:id="47" w:name="_Toc300834960"/>
      <w:bookmarkStart w:id="48" w:name="_Toc152042316"/>
      <w:bookmarkStart w:id="49" w:name="_Toc144974508"/>
      <w:bookmarkStart w:id="50" w:name="_Toc384308220"/>
      <w:bookmarkStart w:id="51" w:name="_Toc247513963"/>
      <w:bookmarkStart w:id="52" w:name="_Toc152045540"/>
      <w:bookmarkStart w:id="53" w:name="_Toc361508595"/>
      <w:bookmarkStart w:id="54" w:name="_Toc352691484"/>
      <w:bookmarkStart w:id="55" w:name="_Toc16623"/>
      <w:bookmarkStart w:id="56" w:name="_Toc369531526"/>
      <w:r>
        <w:rPr>
          <w:rFonts w:ascii="Times New Roman" w:hAnsi="Times New Roman"/>
          <w:color w:val="000000"/>
        </w:rPr>
        <w:t>应按投标人须知前附表规定的时间和形式通知招标人，确认已收到该修改。</w:t>
      </w:r>
    </w:p>
    <w:p>
      <w:pPr>
        <w:pStyle w:val="4"/>
        <w:spacing w:line="240" w:lineRule="auto"/>
        <w:ind w:firstLine="137"/>
        <w:rPr>
          <w:rFonts w:ascii="Times New Roman" w:hAnsi="Times New Roman"/>
          <w:color w:val="000000"/>
        </w:rPr>
      </w:pPr>
      <w:bookmarkStart w:id="57" w:name="_Toc18840"/>
      <w:r>
        <w:rPr>
          <w:rFonts w:ascii="Times New Roman" w:hAnsi="Times New Roman"/>
          <w:color w:val="000000"/>
        </w:rPr>
        <w:t>2.</w:t>
      </w:r>
      <w:bookmarkEnd w:id="46"/>
      <w:bookmarkEnd w:id="47"/>
      <w:bookmarkEnd w:id="48"/>
      <w:bookmarkEnd w:id="49"/>
      <w:bookmarkEnd w:id="50"/>
      <w:bookmarkEnd w:id="51"/>
      <w:bookmarkEnd w:id="52"/>
      <w:bookmarkEnd w:id="53"/>
      <w:bookmarkEnd w:id="54"/>
      <w:bookmarkEnd w:id="55"/>
      <w:bookmarkEnd w:id="56"/>
      <w:r>
        <w:rPr>
          <w:rFonts w:ascii="Times New Roman" w:hAnsi="Times New Roman"/>
          <w:color w:val="000000"/>
        </w:rPr>
        <w:t>4 招标文件的异议</w:t>
      </w:r>
      <w:bookmarkEnd w:id="57"/>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w:t>
      </w:r>
      <w:commentRangeStart w:id="2"/>
      <w:r>
        <w:rPr>
          <w:rFonts w:ascii="Times New Roman" w:hAnsi="Times New Roman"/>
          <w:color w:val="000000"/>
          <w:highlight w:val="none"/>
        </w:rPr>
        <w:t>作出答复前，暂停招标投标活动</w:t>
      </w:r>
      <w:commentRangeEnd w:id="2"/>
      <w:r>
        <w:commentReference w:id="2"/>
      </w:r>
      <w:r>
        <w:rPr>
          <w:rFonts w:ascii="Times New Roman" w:hAnsi="Times New Roman"/>
          <w:color w:val="000000"/>
        </w:rPr>
        <w:t>。</w:t>
      </w:r>
    </w:p>
    <w:p>
      <w:pPr>
        <w:pStyle w:val="3"/>
        <w:rPr>
          <w:rFonts w:ascii="Times New Roman" w:hAnsi="Times New Roman"/>
          <w:color w:val="000000"/>
        </w:rPr>
      </w:pPr>
      <w:bookmarkStart w:id="58" w:name="_Toc16190"/>
      <w:r>
        <w:rPr>
          <w:rFonts w:ascii="Times New Roman" w:hAnsi="Times New Roman"/>
          <w:color w:val="000000"/>
        </w:rPr>
        <w:t>3. 投标文件</w:t>
      </w:r>
      <w:bookmarkEnd w:id="58"/>
    </w:p>
    <w:p>
      <w:pPr>
        <w:pStyle w:val="4"/>
        <w:spacing w:line="240" w:lineRule="auto"/>
        <w:ind w:firstLine="137"/>
        <w:rPr>
          <w:rFonts w:ascii="Times New Roman" w:hAnsi="Times New Roman"/>
          <w:color w:val="000000"/>
        </w:rPr>
      </w:pPr>
      <w:bookmarkStart w:id="59" w:name="_Toc28168"/>
      <w:r>
        <w:rPr>
          <w:rFonts w:ascii="Times New Roman" w:hAnsi="Times New Roman"/>
          <w:color w:val="000000"/>
        </w:rPr>
        <w:t>3.1 投标文件的组成</w:t>
      </w:r>
      <w:bookmarkEnd w:id="59"/>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（1）投标函及投标函附录；</w:t>
      </w:r>
    </w:p>
    <w:p>
      <w:pPr>
        <w:spacing w:line="400" w:lineRule="exact"/>
        <w:ind w:firstLine="420" w:firstLineChars="200"/>
        <w:rPr>
          <w:rFonts w:ascii="Times New Roman" w:hAnsi="Times New Roman"/>
        </w:rPr>
      </w:pPr>
      <w:r>
        <w:rPr>
          <w:rFonts w:ascii="Times New Roman" w:hAnsi="Times New Roman"/>
        </w:rPr>
        <w:t>（2）法定代表人身份证明或授权委托书；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rPr>
      </w:pPr>
      <w:r>
        <w:rPr>
          <w:rFonts w:ascii="Times New Roman" w:hAnsi="Times New Roman"/>
        </w:rPr>
        <w:t>（5）监理报酬清单；</w:t>
      </w:r>
    </w:p>
    <w:p>
      <w:pPr>
        <w:spacing w:line="400" w:lineRule="exact"/>
        <w:ind w:firstLine="420" w:firstLineChars="200"/>
        <w:rPr>
          <w:rFonts w:ascii="Times New Roman" w:hAnsi="Times New Roman"/>
        </w:rPr>
      </w:pPr>
      <w:r>
        <w:rPr>
          <w:rFonts w:ascii="Times New Roman" w:hAnsi="Times New Roman"/>
        </w:rPr>
        <w:t>（6）资格审查资料；</w:t>
      </w:r>
    </w:p>
    <w:p>
      <w:pPr>
        <w:spacing w:line="400" w:lineRule="exact"/>
        <w:ind w:firstLine="420" w:firstLineChars="200"/>
        <w:rPr>
          <w:rFonts w:ascii="Times New Roman" w:hAnsi="Times New Roman"/>
        </w:rPr>
      </w:pPr>
      <w:r>
        <w:rPr>
          <w:rFonts w:ascii="Times New Roman" w:hAnsi="Times New Roman"/>
        </w:rPr>
        <w:t>（7）监理大纲；</w:t>
      </w:r>
    </w:p>
    <w:p>
      <w:pPr>
        <w:spacing w:line="400" w:lineRule="exact"/>
        <w:ind w:firstLine="420" w:firstLineChars="200"/>
        <w:rPr>
          <w:rFonts w:ascii="Times New Roman" w:hAnsi="Times New Roman"/>
        </w:rPr>
      </w:pPr>
      <w:r>
        <w:rPr>
          <w:rFonts w:ascii="Times New Roman" w:hAnsi="Times New Roman"/>
        </w:rPr>
        <w:t>（8）投标人须知前附表规定的其他资料。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4"/>
        <w:spacing w:line="240" w:lineRule="auto"/>
        <w:ind w:firstLine="137"/>
        <w:rPr>
          <w:rFonts w:ascii="Times New Roman" w:hAnsi="Times New Roman"/>
          <w:color w:val="000000"/>
        </w:rPr>
      </w:pPr>
      <w:bookmarkStart w:id="60" w:name="_Toc22884"/>
      <w:r>
        <w:rPr>
          <w:rFonts w:ascii="Times New Roman" w:hAnsi="Times New Roman"/>
          <w:color w:val="000000"/>
        </w:rPr>
        <w:t>3.2 投标报价</w:t>
      </w:r>
      <w:bookmarkEnd w:id="60"/>
    </w:p>
    <w:p>
      <w:pPr>
        <w:spacing w:line="400" w:lineRule="exact"/>
        <w:ind w:firstLine="420" w:firstLineChars="200"/>
        <w:rPr>
          <w:rFonts w:ascii="Times New Roman" w:hAnsi="Times New Roman"/>
        </w:rPr>
      </w:pPr>
      <w:r>
        <w:rPr>
          <w:rFonts w:ascii="Times New Roman" w:hAnsi="Times New Roman"/>
        </w:rPr>
        <w:t>3.2.1投标报价应包括国家规定的增值税税金，除投标人须知前附表另有规定外，增值税税金按一般计税方法计算。投标人应按第</w:t>
      </w:r>
      <w:r>
        <w:rPr>
          <w:rFonts w:hint="eastAsia" w:ascii="Times New Roman" w:hAnsi="Times New Roman"/>
          <w:lang w:val="en-US" w:eastAsia="zh-CN"/>
        </w:rPr>
        <w:t>七</w:t>
      </w:r>
      <w:r>
        <w:rPr>
          <w:rFonts w:ascii="Times New Roman" w:hAnsi="Times New Roman"/>
        </w:rPr>
        <w:t>章“投标文件格式”的要求在投标函中进行报价并填写监理报酬清单。</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61" w:name="_Toc352691487"/>
      <w:bookmarkEnd w:id="61"/>
      <w:bookmarkStart w:id="62" w:name="_Toc152045543"/>
      <w:bookmarkEnd w:id="62"/>
      <w:bookmarkStart w:id="63" w:name="_Toc152042319"/>
      <w:bookmarkEnd w:id="63"/>
      <w:bookmarkStart w:id="64" w:name="_Toc144974511"/>
      <w:bookmarkEnd w:id="64"/>
      <w:bookmarkStart w:id="65" w:name="_Toc361508599"/>
      <w:bookmarkEnd w:id="65"/>
      <w:bookmarkStart w:id="66" w:name="_Toc15242"/>
      <w:bookmarkEnd w:id="66"/>
      <w:bookmarkStart w:id="67" w:name="_Toc247527568"/>
      <w:bookmarkEnd w:id="67"/>
      <w:bookmarkStart w:id="68" w:name="_Toc247513967"/>
      <w:bookmarkEnd w:id="68"/>
      <w:bookmarkStart w:id="69" w:name="_Toc384308224"/>
      <w:bookmarkEnd w:id="69"/>
      <w:bookmarkStart w:id="70" w:name="_Toc300834964"/>
      <w:bookmarkEnd w:id="70"/>
      <w:bookmarkStart w:id="71" w:name="_Toc369531530"/>
      <w:bookmarkEnd w:id="71"/>
      <w:r>
        <w:rPr>
          <w:rFonts w:hint="eastAsia" w:ascii="Times New Roman" w:hAnsi="Times New Roman"/>
        </w:rPr>
        <w:t xml:space="preserve"> 本项目的报价方式见投标人须知前附表。</w:t>
      </w:r>
      <w:r>
        <w:rPr>
          <w:rFonts w:ascii="Times New Roman" w:hAnsi="Times New Roman"/>
        </w:rPr>
        <w:t>投标人在投标截止时间前修改投标函中的投标报价总额，应同时修改投标文件“</w:t>
      </w:r>
      <w:r>
        <w:rPr>
          <w:rFonts w:hint="eastAsia" w:ascii="Times New Roman" w:hAnsi="Times New Roman"/>
        </w:rPr>
        <w:t>监理报酬清单</w:t>
      </w:r>
      <w:r>
        <w:rPr>
          <w:rFonts w:ascii="Times New Roman" w:hAnsi="Times New Roman"/>
        </w:rPr>
        <w:t>”中的相应报价。此修改须符合本章第4.3款的有关要求。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ascii="Times New Roman" w:hAnsi="Times New Roman"/>
          <w:color w:val="000000"/>
        </w:rPr>
        <w:t xml:space="preserve"> </w:t>
      </w:r>
      <w:r>
        <w:rPr>
          <w:rFonts w:ascii="Times New Roman" w:hAnsi="Times New Roman"/>
        </w:rPr>
        <w:t>招标人设有最高投标限价的，投标人的投标报价不得超过最高投标限价，最高投标限价在投标</w:t>
      </w:r>
      <w:bookmarkStart w:id="72" w:name="_Toc152045544"/>
      <w:bookmarkStart w:id="73" w:name="_Toc384308225"/>
      <w:bookmarkStart w:id="74" w:name="_Toc247527569"/>
      <w:bookmarkStart w:id="75" w:name="_Toc10429"/>
      <w:bookmarkStart w:id="76" w:name="_Toc300834965"/>
      <w:bookmarkStart w:id="77" w:name="_Toc361508600"/>
      <w:bookmarkStart w:id="78" w:name="_Toc247513968"/>
      <w:bookmarkStart w:id="79" w:name="_Toc152042320"/>
      <w:bookmarkStart w:id="80" w:name="_Toc352691488"/>
      <w:bookmarkStart w:id="81" w:name="_Toc369531531"/>
      <w:bookmarkStart w:id="82" w:name="_Toc144974512"/>
      <w:r>
        <w:rPr>
          <w:rFonts w:ascii="Times New Roman" w:hAnsi="Times New Roman"/>
        </w:rPr>
        <w:t>人须知前附表中载明。</w:t>
      </w:r>
      <w:bookmarkEnd w:id="72"/>
      <w:bookmarkEnd w:id="73"/>
      <w:bookmarkEnd w:id="74"/>
      <w:bookmarkEnd w:id="75"/>
      <w:bookmarkEnd w:id="76"/>
      <w:bookmarkEnd w:id="77"/>
      <w:bookmarkEnd w:id="78"/>
      <w:bookmarkEnd w:id="79"/>
      <w:bookmarkEnd w:id="80"/>
      <w:bookmarkEnd w:id="81"/>
      <w:bookmarkEnd w:id="82"/>
    </w:p>
    <w:p>
      <w:pPr>
        <w:spacing w:line="400" w:lineRule="exact"/>
        <w:ind w:firstLine="420" w:firstLineChars="200"/>
        <w:rPr>
          <w:rFonts w:ascii="Times New Roman" w:hAnsi="Times New Roman"/>
          <w:color w:val="000000"/>
        </w:rPr>
      </w:pPr>
      <w:r>
        <w:rPr>
          <w:rFonts w:ascii="Times New Roman" w:hAnsi="Times New Roman"/>
          <w:color w:val="000000"/>
        </w:rPr>
        <w:t>3.2.5 投标报价的其他要求见投标人须知前附表。</w:t>
      </w:r>
    </w:p>
    <w:p>
      <w:pPr>
        <w:pStyle w:val="4"/>
        <w:spacing w:line="240" w:lineRule="auto"/>
        <w:ind w:firstLine="137"/>
        <w:rPr>
          <w:rFonts w:ascii="Times New Roman" w:hAnsi="Times New Roman"/>
          <w:color w:val="000000"/>
        </w:rPr>
      </w:pPr>
      <w:bookmarkStart w:id="83" w:name="_Toc31573"/>
      <w:r>
        <w:rPr>
          <w:rFonts w:ascii="Times New Roman" w:hAnsi="Times New Roman"/>
          <w:color w:val="000000"/>
        </w:rPr>
        <w:t>3.3 投标有效期</w:t>
      </w:r>
      <w:bookmarkEnd w:id="83"/>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4"/>
        <w:spacing w:line="240" w:lineRule="auto"/>
        <w:ind w:firstLine="137"/>
        <w:rPr>
          <w:rFonts w:ascii="Times New Roman" w:hAnsi="Times New Roman"/>
          <w:color w:val="000000"/>
        </w:rPr>
      </w:pPr>
      <w:bookmarkStart w:id="84" w:name="_Toc18405"/>
      <w:r>
        <w:rPr>
          <w:rFonts w:ascii="Times New Roman" w:hAnsi="Times New Roman"/>
          <w:color w:val="000000"/>
        </w:rPr>
        <w:t>3.4 投标保证金</w:t>
      </w:r>
      <w:bookmarkEnd w:id="84"/>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85" w:name="_Toc152045545"/>
      <w:bookmarkStart w:id="86" w:name="_Toc247513969"/>
      <w:bookmarkStart w:id="87" w:name="_Toc369531532"/>
      <w:bookmarkStart w:id="88" w:name="_Toc361508601"/>
      <w:bookmarkStart w:id="89" w:name="_Toc247527570"/>
      <w:bookmarkStart w:id="90" w:name="_Toc352691489"/>
      <w:bookmarkStart w:id="91" w:name="_Toc384308226"/>
      <w:bookmarkStart w:id="92" w:name="_Toc152042321"/>
      <w:bookmarkStart w:id="93" w:name="_Toc300834966"/>
      <w:bookmarkStart w:id="94" w:name="_Toc4592"/>
      <w:bookmarkStart w:id="95" w:name="_Toc144974513"/>
      <w:r>
        <w:rPr>
          <w:rFonts w:ascii="Times New Roman" w:hAnsi="Times New Roman"/>
          <w:color w:val="000000"/>
        </w:rPr>
        <w:t>、形式和第</w:t>
      </w:r>
      <w:r>
        <w:rPr>
          <w:rFonts w:hint="eastAsia" w:ascii="Times New Roman" w:hAnsi="Times New Roman"/>
          <w:color w:val="000000"/>
          <w:lang w:val="en-US" w:eastAsia="zh-CN"/>
        </w:rPr>
        <w:t>七</w:t>
      </w:r>
      <w:r>
        <w:rPr>
          <w:rFonts w:ascii="Times New Roman" w:hAnsi="Times New Roman"/>
          <w:color w:val="000000"/>
        </w:rPr>
        <w:t>章“投标文</w:t>
      </w:r>
      <w:bookmarkEnd w:id="85"/>
      <w:bookmarkEnd w:id="86"/>
      <w:bookmarkEnd w:id="87"/>
      <w:bookmarkEnd w:id="88"/>
      <w:bookmarkEnd w:id="89"/>
      <w:bookmarkEnd w:id="90"/>
      <w:bookmarkEnd w:id="91"/>
      <w:bookmarkEnd w:id="92"/>
      <w:bookmarkEnd w:id="93"/>
      <w:bookmarkEnd w:id="94"/>
      <w:bookmarkEnd w:id="95"/>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highlight w:val="none"/>
        </w:rPr>
      </w:pPr>
      <w:r>
        <w:rPr>
          <w:rFonts w:ascii="Times New Roman" w:hAnsi="Times New Roman"/>
          <w:color w:val="000000"/>
          <w:highlight w:val="none"/>
        </w:rPr>
        <w:t>3.4.2 投标人不按本章第3.4.1项</w:t>
      </w:r>
      <w:bookmarkStart w:id="96" w:name="_Toc361508602"/>
      <w:bookmarkStart w:id="97" w:name="_Toc384308227"/>
      <w:bookmarkStart w:id="98" w:name="_Toc369531533"/>
      <w:bookmarkStart w:id="99" w:name="_Toc352691490"/>
      <w:bookmarkStart w:id="100" w:name="_Toc29025"/>
      <w:r>
        <w:rPr>
          <w:rFonts w:ascii="Times New Roman" w:hAnsi="Times New Roman"/>
          <w:color w:val="000000"/>
          <w:highlight w:val="none"/>
        </w:rPr>
        <w:t>要求提交投标保证金的，</w:t>
      </w:r>
      <w:bookmarkEnd w:id="96"/>
      <w:bookmarkEnd w:id="97"/>
      <w:bookmarkEnd w:id="98"/>
      <w:bookmarkEnd w:id="99"/>
      <w:bookmarkEnd w:id="100"/>
      <w:r>
        <w:rPr>
          <w:rFonts w:hint="eastAsia" w:ascii="Times New Roman" w:hAnsi="Times New Roman"/>
          <w:color w:val="auto"/>
          <w:sz w:val="21"/>
          <w:szCs w:val="21"/>
          <w:highlight w:val="none"/>
        </w:rPr>
        <w:t>招标人将予以拒收</w:t>
      </w:r>
      <w:r>
        <w:rPr>
          <w:rFonts w:hint="eastAsia" w:ascii="Times New Roman" w:hAnsi="Times New Roman"/>
          <w:color w:val="auto"/>
          <w:sz w:val="21"/>
          <w:szCs w:val="21"/>
          <w:highlight w:val="none"/>
          <w:lang w:val="en-US" w:eastAsia="zh-CN"/>
        </w:rPr>
        <w:t>其投标文件</w:t>
      </w:r>
      <w:r>
        <w:rPr>
          <w:rFonts w:hint="eastAsia" w:ascii="Times New Roman" w:hAnsi="Times New Roman"/>
          <w:color w:val="auto"/>
          <w:sz w:val="21"/>
          <w:szCs w:val="21"/>
          <w:highlight w:val="none"/>
        </w:rPr>
        <w:t>。</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01" w:name="_Toc369531534"/>
      <w:bookmarkStart w:id="102" w:name="_Toc14751"/>
      <w:bookmarkStart w:id="103" w:name="_Toc152045546"/>
      <w:bookmarkStart w:id="104" w:name="_Toc300834967"/>
      <w:bookmarkStart w:id="105" w:name="_Toc247513970"/>
      <w:bookmarkStart w:id="106" w:name="_Toc152042322"/>
      <w:bookmarkStart w:id="107" w:name="_Toc247527571"/>
      <w:bookmarkStart w:id="108" w:name="_Toc144974514"/>
      <w:bookmarkStart w:id="109" w:name="_Toc361508603"/>
      <w:bookmarkStart w:id="110" w:name="_Toc352691491"/>
      <w:bookmarkStart w:id="111" w:name="_Toc384308228"/>
      <w:r>
        <w:rPr>
          <w:rFonts w:ascii="Times New Roman" w:hAnsi="Times New Roman"/>
          <w:color w:val="000000"/>
        </w:rPr>
        <w:t>签订合同后5日</w:t>
      </w:r>
      <w:bookmarkEnd w:id="101"/>
      <w:bookmarkEnd w:id="102"/>
      <w:bookmarkEnd w:id="103"/>
      <w:bookmarkEnd w:id="104"/>
      <w:bookmarkEnd w:id="105"/>
      <w:bookmarkEnd w:id="106"/>
      <w:bookmarkEnd w:id="107"/>
      <w:bookmarkEnd w:id="108"/>
      <w:bookmarkEnd w:id="109"/>
      <w:bookmarkEnd w:id="110"/>
      <w:bookmarkEnd w:id="111"/>
      <w:r>
        <w:rPr>
          <w:rFonts w:ascii="Times New Roman" w:hAnsi="Times New Roman"/>
          <w:color w:val="000000"/>
        </w:rPr>
        <w:t>内</w:t>
      </w:r>
      <w:bookmarkStart w:id="112" w:name="_Toc247513971"/>
      <w:bookmarkStart w:id="113" w:name="_Toc144974515"/>
      <w:bookmarkStart w:id="114" w:name="_Toc352691492"/>
      <w:bookmarkStart w:id="115" w:name="_Toc152042323"/>
      <w:bookmarkStart w:id="116" w:name="_Toc361508604"/>
      <w:bookmarkStart w:id="117" w:name="_Toc369531535"/>
      <w:bookmarkStart w:id="118" w:name="_Toc300834968"/>
      <w:bookmarkStart w:id="119" w:name="_Toc247527572"/>
      <w:bookmarkStart w:id="120" w:name="_Toc152045547"/>
      <w:bookmarkStart w:id="121" w:name="_Toc17952"/>
      <w:bookmarkStart w:id="122" w:name="_Toc384308229"/>
      <w:r>
        <w:rPr>
          <w:rFonts w:ascii="Times New Roman" w:hAnsi="Times New Roman"/>
          <w:color w:val="000000"/>
        </w:rPr>
        <w:t>，向未中标的投标人和中</w:t>
      </w:r>
      <w:bookmarkEnd w:id="112"/>
      <w:bookmarkEnd w:id="113"/>
      <w:bookmarkEnd w:id="114"/>
      <w:bookmarkEnd w:id="115"/>
      <w:bookmarkEnd w:id="116"/>
      <w:bookmarkEnd w:id="117"/>
      <w:bookmarkEnd w:id="118"/>
      <w:bookmarkEnd w:id="119"/>
      <w:bookmarkEnd w:id="120"/>
      <w:bookmarkEnd w:id="121"/>
      <w:bookmarkEnd w:id="122"/>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4"/>
        <w:spacing w:line="240" w:lineRule="auto"/>
        <w:ind w:firstLine="137"/>
        <w:rPr>
          <w:rFonts w:ascii="Times New Roman" w:hAnsi="Times New Roman"/>
          <w:color w:val="000000"/>
        </w:rPr>
      </w:pPr>
      <w:bookmarkStart w:id="123" w:name="_Toc28608"/>
      <w:r>
        <w:rPr>
          <w:rFonts w:ascii="Times New Roman" w:hAnsi="Times New Roman"/>
          <w:color w:val="000000"/>
        </w:rPr>
        <w:t>3.5 资格审查资料</w:t>
      </w:r>
      <w:bookmarkEnd w:id="123"/>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color w:val="000000"/>
        </w:rPr>
      </w:pPr>
      <w:r>
        <w:rPr>
          <w:rFonts w:ascii="Times New Roman" w:hAnsi="Times New Roman"/>
        </w:rPr>
        <w:t>3.5.1 “投标人基本情况表”应附投标人</w:t>
      </w:r>
      <w:r>
        <w:rPr>
          <w:rFonts w:ascii="Times New Roman" w:hAnsi="Times New Roman"/>
          <w:color w:val="000000"/>
        </w:rPr>
        <w:t>营业执照和组织机构代码证的复印件（按照“三证合一”或“五证合一”登记制度进行登记的，可仅提供营业执照复印件）、投标人监理资质证书副本等材料的复印件。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20" w:firstLineChars="200"/>
        <w:rPr>
          <w:rFonts w:ascii="Times New Roman" w:hAnsi="Times New Roman"/>
        </w:rPr>
      </w:pPr>
      <w:r>
        <w:rPr>
          <w:rFonts w:ascii="Times New Roman" w:hAnsi="Times New Roman"/>
        </w:rPr>
        <w:t>3.5.3 “近年完成的类似监理项目情况表”应附中标通知书和（或）合同协议书、委托人出具的证明文件；具体</w:t>
      </w:r>
      <w:r>
        <w:rPr>
          <w:rFonts w:hint="eastAsia" w:ascii="Times New Roman" w:hAnsi="Times New Roman"/>
        </w:rPr>
        <w:t>时间</w:t>
      </w:r>
      <w:r>
        <w:rPr>
          <w:rFonts w:ascii="Times New Roman" w:hAnsi="Times New Roman"/>
        </w:rPr>
        <w:t>要求见投标人须知前附表。</w:t>
      </w:r>
    </w:p>
    <w:p>
      <w:pPr>
        <w:spacing w:line="400" w:lineRule="exact"/>
        <w:ind w:firstLine="420" w:firstLineChars="200"/>
        <w:rPr>
          <w:rFonts w:ascii="Times New Roman" w:hAnsi="Times New Roman"/>
        </w:rPr>
      </w:pPr>
      <w:r>
        <w:rPr>
          <w:rFonts w:ascii="Times New Roman" w:hAnsi="Times New Roman"/>
        </w:rPr>
        <w:t>3.5.4 “正在监理和新承接的项目情况表”应附中标通知书和（或）合同协议书复印件。</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5</w:t>
      </w:r>
      <w:r>
        <w:rPr>
          <w:rFonts w:ascii="Times New Roman" w:hAnsi="Times New Roman"/>
        </w:rPr>
        <w:t xml:space="preserve"> “拟委任的主要人员汇总表”应填报满足本章第1.4.1项规定的总监理工程师和其他主要人员的相关信息。</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6</w:t>
      </w:r>
      <w:r>
        <w:rPr>
          <w:rFonts w:ascii="Times New Roman" w:hAnsi="Times New Roman"/>
        </w:rPr>
        <w:t xml:space="preserve"> “拟投入本项目的主要试验检测仪器设备表”应填报满足本章第1.4.1项规定的试验检测仪器设备。</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7</w:t>
      </w:r>
      <w:r>
        <w:rPr>
          <w:rFonts w:ascii="Times New Roman" w:hAnsi="Times New Roman"/>
        </w:rPr>
        <w:t xml:space="preserve"> 投标人须知前附表规定接受联合体投标的，本章第3.5.1项至第3.5.</w:t>
      </w:r>
      <w:r>
        <w:rPr>
          <w:rFonts w:hint="eastAsia" w:ascii="Times New Roman" w:hAnsi="Times New Roman"/>
          <w:lang w:val="en-US" w:eastAsia="zh-CN"/>
        </w:rPr>
        <w:t>6</w:t>
      </w:r>
      <w:r>
        <w:rPr>
          <w:rFonts w:ascii="Times New Roman" w:hAnsi="Times New Roman"/>
        </w:rPr>
        <w:t>项规定的表格和资料应包括联合体各方相关情况。</w:t>
      </w:r>
    </w:p>
    <w:p>
      <w:pPr>
        <w:pStyle w:val="4"/>
        <w:spacing w:line="240" w:lineRule="auto"/>
        <w:ind w:firstLine="137"/>
        <w:rPr>
          <w:rFonts w:ascii="Times New Roman" w:hAnsi="Times New Roman"/>
          <w:color w:val="000000"/>
        </w:rPr>
      </w:pPr>
      <w:bookmarkStart w:id="124" w:name="_Toc8571"/>
      <w:r>
        <w:rPr>
          <w:rFonts w:ascii="Times New Roman" w:hAnsi="Times New Roman"/>
          <w:color w:val="000000"/>
        </w:rPr>
        <w:t>3.6 备选投标方案</w:t>
      </w:r>
      <w:bookmarkEnd w:id="124"/>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rPr>
      </w:pPr>
      <w:r>
        <w:rPr>
          <w:rFonts w:ascii="Times New Roman" w:hAnsi="Times New Roman"/>
          <w:color w:val="000000"/>
        </w:rPr>
        <w:t>3.6.3 投标人提供两个或两个以上投标报价，或者在投标文件中提供一个报价，但同时提供两个或两个以上</w:t>
      </w:r>
      <w:bookmarkStart w:id="125" w:name="_Toc384308232"/>
      <w:bookmarkStart w:id="126" w:name="_Toc152042326"/>
      <w:bookmarkStart w:id="127" w:name="_Toc247527575"/>
      <w:bookmarkStart w:id="128" w:name="_Toc29902"/>
      <w:bookmarkStart w:id="129" w:name="_Toc300834971"/>
      <w:bookmarkStart w:id="130" w:name="_Toc247513974"/>
      <w:bookmarkStart w:id="131" w:name="_Toc152045550"/>
      <w:bookmarkStart w:id="132" w:name="_Toc369531538"/>
      <w:bookmarkStart w:id="133" w:name="_Toc361508607"/>
      <w:bookmarkStart w:id="134" w:name="_Toc352691495"/>
      <w:bookmarkStart w:id="135" w:name="_Toc144974518"/>
      <w:r>
        <w:rPr>
          <w:rFonts w:ascii="Times New Roman" w:hAnsi="Times New Roman"/>
        </w:rPr>
        <w:t>监理方案的</w:t>
      </w:r>
      <w:bookmarkEnd w:id="125"/>
      <w:bookmarkEnd w:id="126"/>
      <w:bookmarkEnd w:id="127"/>
      <w:bookmarkEnd w:id="128"/>
      <w:bookmarkEnd w:id="129"/>
      <w:bookmarkEnd w:id="130"/>
      <w:bookmarkEnd w:id="131"/>
      <w:bookmarkEnd w:id="132"/>
      <w:bookmarkEnd w:id="133"/>
      <w:bookmarkEnd w:id="134"/>
      <w:bookmarkEnd w:id="135"/>
      <w:r>
        <w:rPr>
          <w:rFonts w:ascii="Times New Roman" w:hAnsi="Times New Roman"/>
        </w:rPr>
        <w:t>，</w:t>
      </w:r>
      <w:r>
        <w:rPr>
          <w:rFonts w:ascii="Times New Roman" w:hAnsi="Times New Roman"/>
          <w:color w:val="000000"/>
        </w:rPr>
        <w:t>视为提供备选方案。</w:t>
      </w:r>
    </w:p>
    <w:p>
      <w:pPr>
        <w:pStyle w:val="4"/>
        <w:spacing w:line="240" w:lineRule="auto"/>
        <w:ind w:firstLine="137"/>
        <w:rPr>
          <w:rFonts w:ascii="Times New Roman" w:hAnsi="Times New Roman"/>
          <w:color w:val="000000"/>
        </w:rPr>
      </w:pPr>
      <w:bookmarkStart w:id="136" w:name="_Toc23189"/>
      <w:r>
        <w:rPr>
          <w:rFonts w:ascii="Times New Roman" w:hAnsi="Times New Roman"/>
          <w:color w:val="000000"/>
        </w:rPr>
        <w:t>3.7 投标文件的编制</w:t>
      </w:r>
      <w:bookmarkEnd w:id="136"/>
    </w:p>
    <w:p>
      <w:pPr>
        <w:spacing w:line="400" w:lineRule="exact"/>
        <w:ind w:firstLine="420" w:firstLineChars="200"/>
        <w:rPr>
          <w:rFonts w:ascii="Times New Roman" w:hAnsi="Times New Roman"/>
          <w:color w:val="000000"/>
        </w:rPr>
      </w:pPr>
      <w:r>
        <w:rPr>
          <w:rFonts w:ascii="Times New Roman" w:hAnsi="Times New Roman"/>
          <w:color w:val="000000"/>
        </w:rPr>
        <w:t>3.7.1 投标文件应按第</w:t>
      </w:r>
      <w:r>
        <w:rPr>
          <w:rFonts w:hint="eastAsia" w:ascii="Times New Roman" w:hAnsi="Times New Roman"/>
          <w:color w:val="000000"/>
          <w:lang w:val="en-US" w:eastAsia="zh-CN"/>
        </w:rPr>
        <w:t>七</w:t>
      </w:r>
      <w:r>
        <w:rPr>
          <w:rFonts w:ascii="Times New Roman" w:hAnsi="Times New Roman"/>
          <w:color w:val="000000"/>
        </w:rPr>
        <w:t>章“投标文件格式”进行编写，如有必要，可以增加附页，作为投标文件的组成部分。</w:t>
      </w:r>
      <w:r>
        <w:rPr>
          <w:rFonts w:ascii="Times New Roman" w:hAnsi="Times New Roman"/>
        </w:rPr>
        <w:t>其中，投标函附录在满足招标文件实质性要求的基础上，可以提出比招标文件要求更有利于招标人的承诺。</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投标文件应当对招标文件有关监理服务期限、投标有效期、委托人要求、招标范围等实质性内容作出响应。</w:t>
      </w:r>
    </w:p>
    <w:p>
      <w:pPr>
        <w:spacing w:line="400" w:lineRule="exact"/>
        <w:ind w:firstLine="420" w:firstLineChars="200"/>
        <w:rPr>
          <w:rFonts w:ascii="Times New Roman" w:hAnsi="Times New Roman"/>
          <w:color w:val="000000"/>
        </w:rPr>
      </w:pPr>
      <w:r>
        <w:rPr>
          <w:rFonts w:ascii="Times New Roman" w:hAnsi="Times New Roman"/>
          <w:color w:val="000000"/>
        </w:rPr>
        <w:t>3.7.3</w:t>
      </w:r>
      <w:r>
        <w:rPr>
          <w:rFonts w:hint="eastAsia" w:ascii="Times New Roman" w:hAnsi="Times New Roman"/>
          <w:color w:val="000000"/>
          <w:lang w:val="en-US" w:eastAsia="zh-CN"/>
        </w:rPr>
        <w:t xml:space="preserve"> </w:t>
      </w:r>
      <w:r>
        <w:rPr>
          <w:rFonts w:ascii="Times New Roman" w:hAnsi="Times New Roman"/>
          <w:color w:val="000000"/>
        </w:rPr>
        <w:t>投标文件全部采用电子文档，除投标人须知前附表另有规定外，投标文件所附证书证件均为原件扫描件，并</w:t>
      </w:r>
      <w:r>
        <w:rPr>
          <w:rFonts w:ascii="Times New Roman" w:hAnsi="Times New Roman"/>
          <w:szCs w:val="21"/>
        </w:rPr>
        <w:t>采用单位和个人数字证书，按招标文件要求在相应位置加盖电子印章</w:t>
      </w:r>
      <w:r>
        <w:rPr>
          <w:rFonts w:ascii="Times New Roman" w:hAnsi="Times New Roman"/>
          <w:color w:val="000000"/>
        </w:rPr>
        <w:t>。由投标人的法定代表人签字或加盖电子印章的，应附法定代表人身份证明，由代理人签字或加盖电子印章的，应附由法定代表人签署的授权委托书。签字或盖章的具体要求见投标人须知前附表。</w:t>
      </w:r>
    </w:p>
    <w:p>
      <w:pPr>
        <w:pStyle w:val="3"/>
        <w:rPr>
          <w:rFonts w:ascii="Times New Roman" w:hAnsi="Times New Roman"/>
          <w:color w:val="000000"/>
        </w:rPr>
      </w:pPr>
      <w:bookmarkStart w:id="137" w:name="_Toc9689"/>
      <w:r>
        <w:rPr>
          <w:rFonts w:ascii="Times New Roman" w:hAnsi="Times New Roman"/>
          <w:color w:val="000000"/>
        </w:rPr>
        <w:t>4. 投标</w:t>
      </w:r>
      <w:bookmarkEnd w:id="137"/>
    </w:p>
    <w:p>
      <w:pPr>
        <w:pStyle w:val="4"/>
        <w:spacing w:line="240" w:lineRule="auto"/>
        <w:ind w:firstLine="137"/>
        <w:rPr>
          <w:rFonts w:ascii="Times New Roman" w:hAnsi="Times New Roman"/>
          <w:color w:val="000000"/>
        </w:rPr>
      </w:pPr>
      <w:bookmarkStart w:id="138" w:name="_Toc31747"/>
      <w:r>
        <w:rPr>
          <w:rFonts w:ascii="Times New Roman" w:hAnsi="Times New Roman"/>
          <w:color w:val="000000"/>
        </w:rPr>
        <w:t>4.1 投标文件的密封和标记</w:t>
      </w:r>
      <w:bookmarkEnd w:id="138"/>
    </w:p>
    <w:p>
      <w:pPr>
        <w:spacing w:line="400" w:lineRule="exact"/>
        <w:ind w:firstLine="420" w:firstLineChars="200"/>
        <w:rPr>
          <w:rFonts w:ascii="Times New Roman" w:hAnsi="Times New Roman"/>
          <w:color w:val="000000"/>
        </w:rPr>
      </w:pPr>
      <w:r>
        <w:rPr>
          <w:rFonts w:ascii="Times New Roman" w:hAnsi="Times New Roman"/>
          <w:color w:val="000000"/>
        </w:rPr>
        <w:t>4.1.1 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w:t>
      </w:r>
      <w:r>
        <w:rPr>
          <w:rFonts w:hint="eastAsia" w:ascii="Times New Roman" w:hAnsi="Times New Roman"/>
          <w:color w:val="000000"/>
          <w:lang w:val="en-US" w:eastAsia="zh-CN"/>
        </w:rPr>
        <w:t>2</w:t>
      </w:r>
      <w:r>
        <w:rPr>
          <w:rFonts w:ascii="Times New Roman" w:hAnsi="Times New Roman"/>
          <w:color w:val="000000"/>
        </w:rPr>
        <w:t>未按本章第4.1.1项要求密封的投标文件，招标人将予以拒收。</w:t>
      </w:r>
    </w:p>
    <w:p>
      <w:pPr>
        <w:spacing w:line="400" w:lineRule="exact"/>
        <w:ind w:firstLine="420" w:firstLineChars="200"/>
        <w:rPr>
          <w:rFonts w:ascii="Times New Roman" w:hAnsi="Times New Roman"/>
          <w:color w:val="000000"/>
        </w:rPr>
      </w:pPr>
    </w:p>
    <w:p>
      <w:pPr>
        <w:pStyle w:val="4"/>
        <w:spacing w:line="240" w:lineRule="auto"/>
        <w:rPr>
          <w:rFonts w:ascii="Times New Roman" w:hAnsi="Times New Roman"/>
          <w:color w:val="000000"/>
        </w:rPr>
      </w:pPr>
      <w:bookmarkStart w:id="139" w:name="_Toc16018"/>
      <w:r>
        <w:rPr>
          <w:rFonts w:ascii="Times New Roman" w:hAnsi="Times New Roman"/>
          <w:color w:val="000000"/>
        </w:rPr>
        <w:t>4.2 投标文件的递交</w:t>
      </w:r>
      <w:bookmarkEnd w:id="139"/>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4.2.3 投标人所递交的投标文件不予退还。</w:t>
      </w:r>
    </w:p>
    <w:p>
      <w:pPr>
        <w:spacing w:line="400" w:lineRule="exact"/>
        <w:ind w:firstLine="420" w:firstLineChars="200"/>
        <w:rPr>
          <w:rFonts w:ascii="Times New Roman" w:hAnsi="Times New Roman"/>
        </w:rPr>
      </w:pPr>
      <w:r>
        <w:rPr>
          <w:rFonts w:ascii="Times New Roman" w:hAnsi="Times New Roman"/>
          <w:color w:val="000000"/>
        </w:rPr>
        <w:t>4.2.4 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jc w:val="left"/>
        <w:rPr>
          <w:rFonts w:ascii="Times New Roman" w:hAnsi="Times New Roman"/>
          <w:color w:val="000000"/>
        </w:rPr>
      </w:pPr>
      <w:r>
        <w:rPr>
          <w:rFonts w:ascii="Times New Roman" w:hAnsi="Times New Roman"/>
        </w:rPr>
        <w:t>4.2.5 逾期送达的投标文件，电子招标投标交易平台将予以拒收。</w:t>
      </w:r>
    </w:p>
    <w:p>
      <w:pPr>
        <w:pStyle w:val="4"/>
        <w:spacing w:line="240" w:lineRule="auto"/>
        <w:ind w:firstLine="137"/>
        <w:rPr>
          <w:rFonts w:ascii="Times New Roman" w:hAnsi="Times New Roman"/>
          <w:color w:val="000000"/>
        </w:rPr>
      </w:pPr>
      <w:bookmarkStart w:id="140" w:name="_Toc8432"/>
      <w:r>
        <w:rPr>
          <w:rFonts w:ascii="Times New Roman" w:hAnsi="Times New Roman"/>
          <w:color w:val="000000"/>
        </w:rPr>
        <w:t>4.3 投标文件的修改与撤回</w:t>
      </w:r>
      <w:bookmarkEnd w:id="140"/>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w:t>
      </w:r>
    </w:p>
    <w:p>
      <w:pPr>
        <w:pStyle w:val="3"/>
        <w:rPr>
          <w:rFonts w:ascii="Times New Roman" w:hAnsi="Times New Roman"/>
          <w:color w:val="000000"/>
        </w:rPr>
      </w:pPr>
      <w:bookmarkStart w:id="141" w:name="_Toc20520"/>
      <w:r>
        <w:rPr>
          <w:rFonts w:ascii="Times New Roman" w:hAnsi="Times New Roman"/>
          <w:color w:val="000000"/>
        </w:rPr>
        <w:t>5. 开标</w:t>
      </w:r>
      <w:bookmarkEnd w:id="141"/>
    </w:p>
    <w:p>
      <w:pPr>
        <w:pStyle w:val="4"/>
        <w:spacing w:line="240" w:lineRule="auto"/>
        <w:ind w:firstLine="137"/>
        <w:rPr>
          <w:rFonts w:ascii="Times New Roman" w:hAnsi="Times New Roman"/>
          <w:color w:val="000000"/>
        </w:rPr>
      </w:pPr>
      <w:bookmarkStart w:id="142" w:name="_Toc573"/>
      <w:r>
        <w:rPr>
          <w:rFonts w:ascii="Times New Roman" w:hAnsi="Times New Roman"/>
          <w:color w:val="000000"/>
        </w:rPr>
        <w:t>5.1 开标时间和地点</w:t>
      </w:r>
      <w:bookmarkEnd w:id="142"/>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w:t>
      </w:r>
      <w:r>
        <w:rPr>
          <w:rFonts w:hint="eastAsia" w:ascii="Times New Roman" w:hAnsi="Times New Roman"/>
          <w:color w:val="000000"/>
          <w:lang w:val="en-US" w:eastAsia="zh-CN"/>
        </w:rPr>
        <w:t>呼和浩特市不见面开标大厅</w:t>
      </w:r>
      <w:r>
        <w:rPr>
          <w:rFonts w:ascii="Times New Roman" w:hAnsi="Times New Roman"/>
          <w:color w:val="000000"/>
        </w:rPr>
        <w:t>公开开标，所有投标人的法定代表人或其委托代理人应当准时参加。</w:t>
      </w:r>
    </w:p>
    <w:p>
      <w:pPr>
        <w:pStyle w:val="4"/>
        <w:spacing w:line="240" w:lineRule="auto"/>
        <w:ind w:firstLine="137"/>
        <w:rPr>
          <w:rFonts w:ascii="Times New Roman" w:hAnsi="Times New Roman"/>
          <w:color w:val="000000"/>
        </w:rPr>
      </w:pPr>
      <w:bookmarkStart w:id="143" w:name="_Toc9397"/>
      <w:r>
        <w:rPr>
          <w:rFonts w:ascii="Times New Roman" w:hAnsi="Times New Roman"/>
          <w:color w:val="000000"/>
        </w:rPr>
        <w:t>5.2 开标程序</w:t>
      </w:r>
      <w:bookmarkEnd w:id="143"/>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p>
    <w:p>
      <w:pPr>
        <w:pStyle w:val="4"/>
        <w:spacing w:line="240" w:lineRule="auto"/>
        <w:ind w:firstLine="137"/>
        <w:rPr>
          <w:rFonts w:ascii="Times New Roman" w:hAnsi="Times New Roman"/>
          <w:color w:val="000000"/>
        </w:rPr>
      </w:pPr>
      <w:bookmarkStart w:id="144" w:name="_Toc27476"/>
      <w:r>
        <w:rPr>
          <w:rFonts w:ascii="Times New Roman" w:hAnsi="Times New Roman"/>
          <w:color w:val="000000"/>
        </w:rPr>
        <w:t>5.3 开标异议</w:t>
      </w:r>
      <w:bookmarkEnd w:id="144"/>
    </w:p>
    <w:p>
      <w:pPr>
        <w:spacing w:line="400" w:lineRule="exact"/>
        <w:ind w:firstLine="420" w:firstLineChars="0"/>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3"/>
        <w:rPr>
          <w:rFonts w:ascii="Times New Roman" w:hAnsi="Times New Roman"/>
          <w:color w:val="000000"/>
        </w:rPr>
      </w:pPr>
      <w:bookmarkStart w:id="145" w:name="_Toc17619"/>
      <w:r>
        <w:rPr>
          <w:rFonts w:ascii="Times New Roman" w:hAnsi="Times New Roman"/>
          <w:color w:val="000000"/>
        </w:rPr>
        <w:t>6. 评标</w:t>
      </w:r>
      <w:bookmarkEnd w:id="145"/>
    </w:p>
    <w:p>
      <w:pPr>
        <w:pStyle w:val="4"/>
        <w:spacing w:line="240" w:lineRule="auto"/>
        <w:ind w:firstLine="137"/>
        <w:rPr>
          <w:rFonts w:ascii="Times New Roman" w:hAnsi="Times New Roman"/>
          <w:color w:val="000000"/>
        </w:rPr>
      </w:pPr>
      <w:bookmarkStart w:id="146" w:name="_Toc18932"/>
      <w:r>
        <w:rPr>
          <w:rFonts w:ascii="Times New Roman" w:hAnsi="Times New Roman"/>
          <w:color w:val="000000"/>
        </w:rPr>
        <w:t>6.1 评标委员会</w:t>
      </w:r>
      <w:bookmarkEnd w:id="146"/>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147" w:name="_Toc384308237"/>
      <w:bookmarkStart w:id="148" w:name="_Toc247513979"/>
      <w:bookmarkStart w:id="149" w:name="_Toc6230"/>
      <w:bookmarkStart w:id="150" w:name="_Toc144974523"/>
      <w:bookmarkStart w:id="151" w:name="_Toc152042331"/>
      <w:bookmarkStart w:id="152" w:name="_Toc247527580"/>
      <w:bookmarkStart w:id="153" w:name="_Toc361508612"/>
      <w:bookmarkStart w:id="154" w:name="_Toc152045555"/>
      <w:bookmarkStart w:id="155" w:name="_Toc352691499"/>
      <w:bookmarkStart w:id="156" w:name="_Toc300834976"/>
      <w:bookmarkStart w:id="157" w:name="_Toc369531543"/>
      <w:r>
        <w:rPr>
          <w:rFonts w:ascii="Times New Roman" w:hAnsi="Times New Roman"/>
          <w:color w:val="000000"/>
        </w:rPr>
        <w:t>标以及其他</w:t>
      </w:r>
      <w:bookmarkEnd w:id="147"/>
      <w:bookmarkEnd w:id="148"/>
      <w:bookmarkEnd w:id="149"/>
      <w:bookmarkEnd w:id="150"/>
      <w:bookmarkEnd w:id="151"/>
      <w:bookmarkEnd w:id="152"/>
      <w:bookmarkEnd w:id="153"/>
      <w:bookmarkEnd w:id="154"/>
      <w:bookmarkEnd w:id="155"/>
      <w:bookmarkEnd w:id="156"/>
      <w:bookmarkEnd w:id="157"/>
      <w:r>
        <w:rPr>
          <w:rFonts w:ascii="Times New Roman" w:hAnsi="Times New Roman"/>
          <w:color w:val="000000"/>
        </w:rPr>
        <w:t>与</w:t>
      </w:r>
      <w:bookmarkStart w:id="158" w:name="_Toc152042332"/>
      <w:bookmarkStart w:id="159" w:name="_Toc300834977"/>
      <w:bookmarkStart w:id="160" w:name="_Toc352691500"/>
      <w:bookmarkStart w:id="161" w:name="_Toc247513980"/>
      <w:bookmarkStart w:id="162" w:name="_Toc152045556"/>
      <w:bookmarkStart w:id="163" w:name="_Toc17703"/>
      <w:bookmarkStart w:id="164" w:name="_Toc247527581"/>
      <w:bookmarkStart w:id="165" w:name="_Toc369531544"/>
      <w:bookmarkStart w:id="166" w:name="_Toc361508613"/>
      <w:bookmarkStart w:id="167" w:name="_Toc384308238"/>
      <w:bookmarkStart w:id="168" w:name="_Toc144974524"/>
      <w:r>
        <w:rPr>
          <w:rFonts w:ascii="Times New Roman" w:hAnsi="Times New Roman"/>
          <w:color w:val="000000"/>
        </w:rPr>
        <w:t>招标投标有关活动中从事违法行</w:t>
      </w:r>
      <w:bookmarkEnd w:id="158"/>
      <w:bookmarkEnd w:id="159"/>
      <w:bookmarkEnd w:id="160"/>
      <w:bookmarkEnd w:id="161"/>
      <w:bookmarkEnd w:id="162"/>
      <w:bookmarkEnd w:id="163"/>
      <w:bookmarkEnd w:id="164"/>
      <w:bookmarkEnd w:id="165"/>
      <w:bookmarkEnd w:id="166"/>
      <w:bookmarkEnd w:id="167"/>
      <w:bookmarkEnd w:id="168"/>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highlight w:val="yellow"/>
        </w:rPr>
      </w:pPr>
      <w:commentRangeStart w:id="3"/>
      <w:r>
        <w:rPr>
          <w:rFonts w:ascii="Times New Roman" w:hAnsi="Times New Roman"/>
          <w:color w:val="000000"/>
          <w:highlight w:val="yellow"/>
        </w:rPr>
        <w:t>6.1.3 评标过程中，评标委员会成员有回避事由、擅离职守或者因健康等原因不能继续评标的，招标人有权更换。被更换的评标委员会成员作出的评审结论无效，由更换后的评标委员会成员重新进行评审。</w:t>
      </w:r>
      <w:commentRangeEnd w:id="3"/>
      <w:r>
        <w:commentReference w:id="3"/>
      </w:r>
    </w:p>
    <w:p>
      <w:pPr>
        <w:pStyle w:val="4"/>
        <w:spacing w:line="240" w:lineRule="auto"/>
        <w:ind w:firstLine="137"/>
        <w:rPr>
          <w:rFonts w:ascii="Times New Roman" w:hAnsi="Times New Roman"/>
          <w:color w:val="000000"/>
        </w:rPr>
      </w:pPr>
      <w:bookmarkStart w:id="169" w:name="_Toc30881"/>
      <w:r>
        <w:rPr>
          <w:rFonts w:ascii="Times New Roman" w:hAnsi="Times New Roman"/>
          <w:color w:val="000000"/>
        </w:rPr>
        <w:t>6.2 评标原则</w:t>
      </w:r>
      <w:bookmarkEnd w:id="169"/>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170" w:name="_Toc152042333"/>
      <w:bookmarkStart w:id="171" w:name="_Toc384308239"/>
      <w:bookmarkStart w:id="172" w:name="_Toc152045557"/>
      <w:bookmarkStart w:id="173" w:name="_Toc18949"/>
      <w:bookmarkStart w:id="174" w:name="_Toc144974525"/>
      <w:bookmarkStart w:id="175" w:name="_Toc300834978"/>
      <w:bookmarkStart w:id="176" w:name="_Toc361508614"/>
      <w:bookmarkStart w:id="177" w:name="_Toc247527582"/>
      <w:bookmarkStart w:id="178" w:name="_Toc369531545"/>
      <w:bookmarkStart w:id="179" w:name="_Toc247513981"/>
      <w:bookmarkStart w:id="180" w:name="_Toc352691501"/>
      <w:r>
        <w:rPr>
          <w:rFonts w:ascii="Times New Roman" w:hAnsi="Times New Roman"/>
          <w:color w:val="000000"/>
        </w:rPr>
        <w:t>则。</w:t>
      </w:r>
    </w:p>
    <w:p>
      <w:pPr>
        <w:pStyle w:val="4"/>
        <w:spacing w:line="240" w:lineRule="auto"/>
        <w:ind w:firstLine="137"/>
        <w:rPr>
          <w:rFonts w:ascii="Times New Roman" w:hAnsi="Times New Roman"/>
          <w:color w:val="000000"/>
        </w:rPr>
      </w:pPr>
      <w:bookmarkStart w:id="181" w:name="_Toc6556"/>
      <w:r>
        <w:rPr>
          <w:rFonts w:ascii="Times New Roman" w:hAnsi="Times New Roman"/>
          <w:color w:val="000000"/>
        </w:rPr>
        <w:t>6.3 评标</w:t>
      </w:r>
      <w:bookmarkEnd w:id="181"/>
    </w:p>
    <w:p>
      <w:pPr>
        <w:spacing w:line="400" w:lineRule="exact"/>
        <w:ind w:firstLine="420" w:firstLineChars="200"/>
        <w:rPr>
          <w:rFonts w:ascii="Times New Roman" w:hAnsi="Times New Roman"/>
          <w:color w:val="000000"/>
        </w:rPr>
      </w:pPr>
      <w:r>
        <w:rPr>
          <w:rFonts w:ascii="Times New Roman" w:hAnsi="Times New Roman"/>
          <w:color w:val="000000"/>
        </w:rPr>
        <w:t>6</w:t>
      </w:r>
      <w:bookmarkEnd w:id="170"/>
      <w:bookmarkEnd w:id="171"/>
      <w:bookmarkEnd w:id="172"/>
      <w:bookmarkEnd w:id="173"/>
      <w:bookmarkEnd w:id="174"/>
      <w:bookmarkEnd w:id="175"/>
      <w:bookmarkEnd w:id="176"/>
      <w:bookmarkEnd w:id="177"/>
      <w:bookmarkEnd w:id="178"/>
      <w:bookmarkEnd w:id="179"/>
      <w:bookmarkEnd w:id="180"/>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w:t>
      </w:r>
      <w:r>
        <w:rPr>
          <w:rFonts w:hint="eastAsia" w:ascii="Times New Roman" w:hAnsi="Times New Roman"/>
          <w:color w:val="000000"/>
          <w:lang w:val="en-US" w:eastAsia="zh-CN"/>
        </w:rPr>
        <w:t>中标候选人</w:t>
      </w:r>
      <w:r>
        <w:rPr>
          <w:rFonts w:ascii="Times New Roman" w:hAnsi="Times New Roman"/>
          <w:color w:val="000000"/>
        </w:rPr>
        <w:t>名单。评标委员会推荐</w:t>
      </w:r>
      <w:bookmarkStart w:id="182" w:name="_Toc12259"/>
      <w:bookmarkStart w:id="183" w:name="_Toc152045558"/>
      <w:bookmarkStart w:id="184" w:name="_Toc247527583"/>
      <w:bookmarkStart w:id="185" w:name="_Toc300834979"/>
      <w:bookmarkStart w:id="186" w:name="_Toc352691502"/>
      <w:bookmarkStart w:id="187" w:name="_Toc384308240"/>
      <w:bookmarkStart w:id="188" w:name="_Toc361508615"/>
      <w:bookmarkStart w:id="189" w:name="_Toc152042334"/>
      <w:bookmarkStart w:id="190" w:name="_Toc247513982"/>
      <w:bookmarkStart w:id="191" w:name="_Toc369531546"/>
      <w:bookmarkStart w:id="192" w:name="_Toc144974526"/>
      <w:r>
        <w:rPr>
          <w:rFonts w:hint="eastAsia" w:ascii="Times New Roman" w:hAnsi="Times New Roman"/>
          <w:color w:val="000000"/>
          <w:lang w:val="en-US" w:eastAsia="zh-CN"/>
        </w:rPr>
        <w:t>中标候选人</w:t>
      </w:r>
      <w:r>
        <w:rPr>
          <w:rFonts w:ascii="Times New Roman" w:hAnsi="Times New Roman"/>
          <w:color w:val="000000"/>
        </w:rPr>
        <w:t>的人数见投标人须知前附</w:t>
      </w:r>
      <w:bookmarkEnd w:id="182"/>
      <w:bookmarkEnd w:id="183"/>
      <w:bookmarkEnd w:id="184"/>
      <w:bookmarkEnd w:id="185"/>
      <w:bookmarkEnd w:id="186"/>
      <w:bookmarkEnd w:id="187"/>
      <w:bookmarkEnd w:id="188"/>
      <w:bookmarkEnd w:id="189"/>
      <w:bookmarkEnd w:id="190"/>
      <w:bookmarkEnd w:id="191"/>
      <w:bookmarkEnd w:id="192"/>
      <w:r>
        <w:rPr>
          <w:rFonts w:ascii="Times New Roman" w:hAnsi="Times New Roman"/>
          <w:color w:val="000000"/>
        </w:rPr>
        <w:t>表。</w:t>
      </w:r>
    </w:p>
    <w:p>
      <w:pPr>
        <w:pStyle w:val="3"/>
        <w:rPr>
          <w:rFonts w:hint="eastAsia" w:ascii="Times New Roman" w:hAnsi="Times New Roman"/>
          <w:color w:val="000000"/>
          <w:lang w:val="en-US" w:eastAsia="zh-CN"/>
        </w:rPr>
      </w:pPr>
      <w:bookmarkStart w:id="193" w:name="_Toc14874"/>
      <w:r>
        <w:rPr>
          <w:rFonts w:hint="eastAsia" w:ascii="Times New Roman" w:hAnsi="Times New Roman"/>
          <w:color w:val="000000"/>
          <w:lang w:val="en-US" w:eastAsia="zh-CN"/>
        </w:rPr>
        <w:t>7.定标</w:t>
      </w:r>
      <w:bookmarkEnd w:id="193"/>
    </w:p>
    <w:p>
      <w:pPr>
        <w:pStyle w:val="4"/>
        <w:spacing w:line="240" w:lineRule="auto"/>
        <w:ind w:firstLine="137"/>
        <w:rPr>
          <w:rFonts w:hint="eastAsia" w:ascii="Times New Roman" w:hAnsi="Times New Roman"/>
          <w:color w:val="000000"/>
          <w:lang w:val="en-US" w:eastAsia="zh-CN"/>
        </w:rPr>
      </w:pPr>
      <w:bookmarkStart w:id="194" w:name="_Toc28414"/>
      <w:r>
        <w:rPr>
          <w:rFonts w:hint="eastAsia" w:ascii="Times New Roman" w:hAnsi="Times New Roman"/>
          <w:color w:val="000000"/>
          <w:lang w:val="en-US" w:eastAsia="zh-CN"/>
        </w:rPr>
        <w:t>7.1 定标委员会</w:t>
      </w:r>
      <w:bookmarkEnd w:id="194"/>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p>
    <w:p>
      <w:pPr>
        <w:pStyle w:val="4"/>
        <w:spacing w:line="240" w:lineRule="auto"/>
        <w:ind w:firstLine="137"/>
        <w:rPr>
          <w:rFonts w:hint="eastAsia" w:ascii="Times New Roman" w:hAnsi="Times New Roman"/>
          <w:color w:val="000000"/>
          <w:lang w:val="en-US" w:eastAsia="zh-CN"/>
        </w:rPr>
      </w:pPr>
      <w:bookmarkStart w:id="195" w:name="_Toc27430"/>
      <w:r>
        <w:rPr>
          <w:rFonts w:hint="eastAsia" w:ascii="Times New Roman" w:hAnsi="Times New Roman"/>
          <w:color w:val="000000"/>
          <w:lang w:val="en-US" w:eastAsia="zh-CN"/>
        </w:rPr>
        <w:t>7.2 定标原则</w:t>
      </w:r>
      <w:bookmarkEnd w:id="195"/>
      <w:r>
        <w:rPr>
          <w:rFonts w:hint="eastAsia" w:ascii="Times New Roman" w:hAnsi="Times New Roman"/>
          <w:color w:val="000000"/>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commentReference w:id="4"/>
      </w:r>
      <w:r>
        <w:rPr>
          <w:rFonts w:hint="eastAsia" w:ascii="宋体" w:hAnsi="宋体" w:eastAsia="宋体" w:cs="宋体"/>
          <w:sz w:val="21"/>
          <w:szCs w:val="21"/>
          <w:lang w:val="en-US" w:eastAsia="zh-CN"/>
        </w:rPr>
        <w:t>定标委员会成员应当客观、公正履职，在未公示中标结果前，对定标过程和结果严格保密，对所提出的定标意见承担个人责任。</w:t>
      </w:r>
    </w:p>
    <w:p>
      <w:pPr>
        <w:pStyle w:val="4"/>
        <w:spacing w:line="240" w:lineRule="auto"/>
        <w:ind w:firstLine="137"/>
        <w:rPr>
          <w:rFonts w:hint="eastAsia" w:ascii="Times New Roman" w:hAnsi="Times New Roman"/>
          <w:color w:val="000000"/>
          <w:lang w:val="en-US" w:eastAsia="zh-CN"/>
        </w:rPr>
      </w:pPr>
      <w:bookmarkStart w:id="196" w:name="_Toc19556"/>
      <w:r>
        <w:rPr>
          <w:rFonts w:hint="eastAsia" w:ascii="Times New Roman" w:hAnsi="Times New Roman"/>
          <w:color w:val="000000"/>
          <w:lang w:val="en-US" w:eastAsia="zh-CN"/>
        </w:rPr>
        <w:t>7.3 定标</w:t>
      </w:r>
      <w:bookmarkEnd w:id="196"/>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rPr>
      </w:pPr>
      <w:r>
        <w:rPr>
          <w:rFonts w:hint="eastAsia" w:ascii="宋体" w:hAnsi="宋体" w:eastAsia="宋体" w:cs="宋体"/>
          <w:sz w:val="21"/>
          <w:szCs w:val="21"/>
          <w:lang w:val="en-US" w:eastAsia="zh-CN"/>
        </w:rPr>
        <w:t>定标</w:t>
      </w:r>
      <w:r>
        <w:rPr>
          <w:rFonts w:hint="eastAsia" w:ascii="宋体" w:hAnsi="宋体" w:eastAsia="宋体" w:cs="宋体"/>
          <w:sz w:val="21"/>
          <w:szCs w:val="21"/>
        </w:rPr>
        <w:t>委员会按照第</w:t>
      </w:r>
      <w:r>
        <w:rPr>
          <w:rFonts w:hint="eastAsia" w:ascii="宋体" w:hAnsi="宋体" w:eastAsia="宋体" w:cs="宋体"/>
          <w:sz w:val="21"/>
          <w:szCs w:val="21"/>
          <w:lang w:val="en-US" w:eastAsia="zh-CN"/>
        </w:rPr>
        <w:t>四</w:t>
      </w:r>
      <w:r>
        <w:rPr>
          <w:rFonts w:hint="eastAsia" w:ascii="宋体" w:hAnsi="宋体" w:eastAsia="宋体" w:cs="宋体"/>
          <w:sz w:val="21"/>
          <w:szCs w:val="21"/>
        </w:rPr>
        <w:t>章“</w:t>
      </w:r>
      <w:r>
        <w:rPr>
          <w:rFonts w:hint="eastAsia" w:ascii="宋体" w:hAnsi="宋体" w:eastAsia="宋体" w:cs="宋体"/>
          <w:sz w:val="21"/>
          <w:szCs w:val="21"/>
          <w:lang w:val="en-US" w:eastAsia="zh-CN"/>
        </w:rPr>
        <w:t>定标</w:t>
      </w:r>
      <w:r>
        <w:rPr>
          <w:rFonts w:hint="eastAsia" w:ascii="宋体" w:hAnsi="宋体" w:eastAsia="宋体" w:cs="宋体"/>
          <w:sz w:val="21"/>
          <w:szCs w:val="21"/>
        </w:rPr>
        <w:t>办法”规定的方法、</w:t>
      </w:r>
      <w:r>
        <w:rPr>
          <w:rFonts w:hint="eastAsia" w:ascii="宋体" w:hAnsi="宋体" w:eastAsia="宋体" w:cs="宋体"/>
          <w:sz w:val="21"/>
          <w:szCs w:val="21"/>
          <w:lang w:val="en-US" w:eastAsia="zh-CN"/>
        </w:rPr>
        <w:t>择优</w:t>
      </w:r>
      <w:r>
        <w:rPr>
          <w:rFonts w:hint="eastAsia" w:ascii="宋体" w:hAnsi="宋体" w:eastAsia="宋体" w:cs="宋体"/>
          <w:sz w:val="21"/>
          <w:szCs w:val="21"/>
        </w:rPr>
        <w:t>因素、标准和程序对</w:t>
      </w:r>
      <w:r>
        <w:rPr>
          <w:rFonts w:hint="eastAsia" w:ascii="宋体" w:hAnsi="宋体" w:cs="宋体"/>
          <w:sz w:val="21"/>
          <w:szCs w:val="21"/>
          <w:lang w:val="en-US" w:eastAsia="zh-CN"/>
        </w:rPr>
        <w:t>中标候选人</w:t>
      </w:r>
      <w:r>
        <w:rPr>
          <w:rFonts w:hint="eastAsia" w:ascii="宋体" w:hAnsi="宋体" w:eastAsia="宋体" w:cs="宋体"/>
          <w:sz w:val="21"/>
          <w:szCs w:val="21"/>
        </w:rPr>
        <w:t>进行</w:t>
      </w:r>
      <w:r>
        <w:rPr>
          <w:rFonts w:hint="eastAsia" w:ascii="宋体" w:hAnsi="宋体" w:eastAsia="宋体" w:cs="宋体"/>
          <w:sz w:val="21"/>
          <w:szCs w:val="21"/>
          <w:lang w:val="en-US" w:eastAsia="zh-CN"/>
        </w:rPr>
        <w:t>择优</w:t>
      </w:r>
      <w:r>
        <w:rPr>
          <w:rFonts w:hint="eastAsia" w:ascii="宋体" w:hAnsi="宋体" w:eastAsia="宋体" w:cs="宋体"/>
          <w:sz w:val="21"/>
          <w:szCs w:val="21"/>
        </w:rPr>
        <w:t>。第</w:t>
      </w:r>
      <w:r>
        <w:rPr>
          <w:rFonts w:hint="eastAsia" w:ascii="宋体" w:hAnsi="宋体" w:eastAsia="宋体" w:cs="宋体"/>
          <w:sz w:val="21"/>
          <w:szCs w:val="21"/>
          <w:lang w:val="en-US" w:eastAsia="zh-CN"/>
        </w:rPr>
        <w:t>四</w:t>
      </w:r>
      <w:r>
        <w:rPr>
          <w:rFonts w:hint="eastAsia" w:ascii="宋体" w:hAnsi="宋体" w:eastAsia="宋体" w:cs="宋体"/>
          <w:sz w:val="21"/>
          <w:szCs w:val="21"/>
        </w:rPr>
        <w:t>章“</w:t>
      </w:r>
      <w:r>
        <w:rPr>
          <w:rFonts w:hint="eastAsia" w:ascii="宋体" w:hAnsi="宋体" w:eastAsia="宋体" w:cs="宋体"/>
          <w:sz w:val="21"/>
          <w:szCs w:val="21"/>
          <w:lang w:val="en-US" w:eastAsia="zh-CN"/>
        </w:rPr>
        <w:t>定标</w:t>
      </w:r>
      <w:r>
        <w:rPr>
          <w:rFonts w:hint="eastAsia" w:ascii="宋体" w:hAnsi="宋体" w:eastAsia="宋体" w:cs="宋体"/>
          <w:sz w:val="21"/>
          <w:szCs w:val="21"/>
        </w:rPr>
        <w:t>办法”没有规定的方法、</w:t>
      </w:r>
      <w:r>
        <w:rPr>
          <w:rFonts w:hint="eastAsia" w:ascii="宋体" w:hAnsi="宋体" w:eastAsia="宋体" w:cs="宋体"/>
          <w:sz w:val="21"/>
          <w:szCs w:val="21"/>
          <w:lang w:val="en-US" w:eastAsia="zh-CN"/>
        </w:rPr>
        <w:t>择优</w:t>
      </w:r>
      <w:r>
        <w:rPr>
          <w:rFonts w:hint="eastAsia" w:ascii="宋体" w:hAnsi="宋体" w:eastAsia="宋体" w:cs="宋体"/>
          <w:sz w:val="21"/>
          <w:szCs w:val="21"/>
        </w:rPr>
        <w:t>因素和标准，不作为</w:t>
      </w:r>
      <w:r>
        <w:rPr>
          <w:rFonts w:hint="eastAsia" w:ascii="宋体" w:hAnsi="宋体" w:eastAsia="宋体" w:cs="宋体"/>
          <w:sz w:val="21"/>
          <w:szCs w:val="21"/>
          <w:lang w:val="en-US" w:eastAsia="zh-CN"/>
        </w:rPr>
        <w:t>择优</w:t>
      </w:r>
      <w:r>
        <w:rPr>
          <w:rFonts w:hint="eastAsia" w:ascii="宋体" w:hAnsi="宋体" w:eastAsia="宋体" w:cs="宋体"/>
          <w:sz w:val="21"/>
          <w:szCs w:val="21"/>
        </w:rPr>
        <w:t>依据。</w:t>
      </w:r>
    </w:p>
    <w:p>
      <w:pPr>
        <w:pStyle w:val="3"/>
        <w:rPr>
          <w:rFonts w:ascii="Times New Roman" w:hAnsi="Times New Roman"/>
          <w:color w:val="000000"/>
        </w:rPr>
      </w:pPr>
      <w:bookmarkStart w:id="197" w:name="_Toc29946"/>
      <w:r>
        <w:rPr>
          <w:rFonts w:hint="eastAsia" w:ascii="Times New Roman" w:hAnsi="Times New Roman"/>
          <w:color w:val="000000"/>
          <w:lang w:val="en-US" w:eastAsia="zh-CN"/>
        </w:rPr>
        <w:t>8</w:t>
      </w:r>
      <w:r>
        <w:rPr>
          <w:rFonts w:ascii="Times New Roman" w:hAnsi="Times New Roman"/>
          <w:color w:val="000000"/>
        </w:rPr>
        <w:t>. 合同授予</w:t>
      </w:r>
      <w:bookmarkEnd w:id="197"/>
    </w:p>
    <w:p>
      <w:pPr>
        <w:pStyle w:val="4"/>
        <w:spacing w:line="240" w:lineRule="auto"/>
        <w:ind w:firstLine="137"/>
        <w:rPr>
          <w:rFonts w:ascii="Times New Roman" w:hAnsi="Times New Roman"/>
          <w:color w:val="000000"/>
        </w:rPr>
      </w:pPr>
      <w:bookmarkStart w:id="198" w:name="_Toc28146"/>
      <w:r>
        <w:rPr>
          <w:rFonts w:hint="eastAsia" w:ascii="Times New Roman" w:hAnsi="Times New Roman"/>
          <w:color w:val="000000"/>
          <w:lang w:val="en-US" w:eastAsia="zh-CN"/>
        </w:rPr>
        <w:t>8</w:t>
      </w:r>
      <w:r>
        <w:rPr>
          <w:rFonts w:ascii="Times New Roman" w:hAnsi="Times New Roman"/>
          <w:color w:val="000000"/>
        </w:rPr>
        <w:t>.1 中标候选人公示</w:t>
      </w:r>
      <w:bookmarkEnd w:id="198"/>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招标人在收到评标报告之日起3日内，公示期不得少于3天。</w:t>
      </w:r>
    </w:p>
    <w:p>
      <w:pPr>
        <w:pStyle w:val="4"/>
        <w:spacing w:line="240" w:lineRule="auto"/>
        <w:ind w:firstLine="137"/>
        <w:rPr>
          <w:rFonts w:ascii="Times New Roman" w:hAnsi="Times New Roman"/>
          <w:color w:val="000000"/>
        </w:rPr>
      </w:pPr>
      <w:bookmarkStart w:id="199" w:name="_Toc25551"/>
      <w:r>
        <w:rPr>
          <w:rFonts w:hint="eastAsia" w:ascii="Times New Roman" w:hAnsi="Times New Roman"/>
          <w:color w:val="000000"/>
          <w:lang w:val="en-US" w:eastAsia="zh-CN"/>
        </w:rPr>
        <w:t>8</w:t>
      </w:r>
      <w:r>
        <w:rPr>
          <w:rFonts w:ascii="Times New Roman" w:hAnsi="Times New Roman"/>
          <w:color w:val="000000"/>
        </w:rPr>
        <w:t>.2 评标结果异议</w:t>
      </w:r>
      <w:bookmarkEnd w:id="199"/>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00" w:name="_Toc152042337"/>
      <w:bookmarkStart w:id="201" w:name="_Toc152045561"/>
      <w:bookmarkStart w:id="202" w:name="_Toc384308243"/>
      <w:bookmarkStart w:id="203" w:name="_Toc352691505"/>
      <w:bookmarkStart w:id="204" w:name="_Toc144974529"/>
      <w:bookmarkStart w:id="205" w:name="_Toc361508618"/>
      <w:bookmarkStart w:id="206" w:name="_Toc247513985"/>
      <w:bookmarkStart w:id="207" w:name="_Toc30095"/>
      <w:bookmarkStart w:id="208" w:name="_Toc247527586"/>
      <w:bookmarkStart w:id="209" w:name="_Toc369531549"/>
      <w:bookmarkStart w:id="210" w:name="_Toc300834982"/>
      <w:r>
        <w:rPr>
          <w:rFonts w:ascii="Times New Roman" w:hAnsi="Times New Roman"/>
          <w:color w:val="000000"/>
        </w:rPr>
        <w:t>害关系人对评标结</w:t>
      </w:r>
      <w:bookmarkEnd w:id="200"/>
      <w:bookmarkEnd w:id="201"/>
      <w:bookmarkEnd w:id="202"/>
      <w:bookmarkEnd w:id="203"/>
      <w:bookmarkEnd w:id="204"/>
      <w:bookmarkEnd w:id="205"/>
      <w:bookmarkEnd w:id="206"/>
      <w:bookmarkEnd w:id="207"/>
      <w:bookmarkEnd w:id="208"/>
      <w:bookmarkEnd w:id="209"/>
      <w:bookmarkEnd w:id="210"/>
      <w:r>
        <w:rPr>
          <w:rFonts w:ascii="Times New Roman" w:hAnsi="Times New Roman"/>
          <w:color w:val="000000"/>
        </w:rPr>
        <w:t>果有异议的，应当在中标候选人公示期间提出。招标人将在收到异议之日起3日内作出答复；作出答复前，将暂停招标投标活动。</w:t>
      </w:r>
    </w:p>
    <w:p>
      <w:pPr>
        <w:pStyle w:val="4"/>
        <w:spacing w:line="240" w:lineRule="auto"/>
        <w:ind w:firstLine="137"/>
        <w:rPr>
          <w:rFonts w:ascii="Times New Roman" w:hAnsi="Times New Roman"/>
          <w:color w:val="000000"/>
        </w:rPr>
      </w:pPr>
      <w:bookmarkStart w:id="211" w:name="_Toc29980"/>
      <w:r>
        <w:rPr>
          <w:rFonts w:hint="eastAsia" w:ascii="Times New Roman" w:hAnsi="Times New Roman"/>
          <w:color w:val="000000"/>
          <w:lang w:val="en-US" w:eastAsia="zh-CN"/>
        </w:rPr>
        <w:t>8</w:t>
      </w:r>
      <w:r>
        <w:rPr>
          <w:rFonts w:ascii="Times New Roman" w:hAnsi="Times New Roman"/>
          <w:color w:val="000000"/>
        </w:rPr>
        <w:t>.3 中标候选人履约能力审查</w:t>
      </w:r>
      <w:bookmarkEnd w:id="211"/>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Times New Roman" w:hAnsi="Times New Roman"/>
          <w:color w:val="000000"/>
        </w:rPr>
      </w:pPr>
      <w:bookmarkStart w:id="212" w:name="_Toc26869"/>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 xml:space="preserve"> 中标通知</w:t>
      </w:r>
      <w:bookmarkEnd w:id="212"/>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13" w:name="_Toc352691506"/>
      <w:bookmarkStart w:id="214" w:name="_Toc5668"/>
      <w:bookmarkStart w:id="215" w:name="_Toc300834983"/>
      <w:bookmarkStart w:id="216" w:name="_Toc369531550"/>
      <w:bookmarkStart w:id="217" w:name="_Toc361508619"/>
      <w:bookmarkStart w:id="218" w:name="_Toc384308244"/>
      <w:r>
        <w:rPr>
          <w:rFonts w:ascii="Times New Roman" w:hAnsi="Times New Roman"/>
          <w:color w:val="000000"/>
        </w:rPr>
        <w:t>通知书，同时将中</w:t>
      </w:r>
      <w:bookmarkEnd w:id="213"/>
      <w:bookmarkEnd w:id="214"/>
      <w:bookmarkEnd w:id="215"/>
      <w:bookmarkEnd w:id="216"/>
      <w:bookmarkEnd w:id="217"/>
      <w:bookmarkEnd w:id="218"/>
      <w:r>
        <w:rPr>
          <w:rFonts w:ascii="Times New Roman" w:hAnsi="Times New Roman"/>
          <w:color w:val="000000"/>
        </w:rPr>
        <w:t>标结果通知未中标的投标人。</w:t>
      </w:r>
    </w:p>
    <w:p>
      <w:pPr>
        <w:pStyle w:val="4"/>
        <w:spacing w:line="240" w:lineRule="auto"/>
        <w:ind w:firstLine="137"/>
        <w:rPr>
          <w:rFonts w:ascii="Times New Roman" w:hAnsi="Times New Roman"/>
          <w:color w:val="000000"/>
        </w:rPr>
      </w:pPr>
      <w:bookmarkStart w:id="219" w:name="_Toc21724"/>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 履约保证金</w:t>
      </w:r>
      <w:bookmarkEnd w:id="219"/>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w:t>
      </w:r>
      <w:r>
        <w:rPr>
          <w:rFonts w:hint="eastAsia" w:ascii="Times New Roman" w:hAnsi="Times New Roman"/>
          <w:color w:val="000000"/>
          <w:lang w:val="en-US" w:eastAsia="zh-CN"/>
        </w:rPr>
        <w:t>五</w:t>
      </w:r>
      <w:r>
        <w:rPr>
          <w:rFonts w:ascii="Times New Roman" w:hAnsi="Times New Roman"/>
          <w:color w:val="000000"/>
        </w:rPr>
        <w:t>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.2 中标人不能按本章第</w:t>
      </w: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.1项要求提交履约保证金的，视为放弃中标，其投标保证金不予退还，给招标人造成的损失超过投标保证金数额的，中标人还应当对超过部分予以赔偿。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Times New Roman" w:hAnsi="Times New Roman"/>
          <w:color w:val="000000"/>
        </w:rPr>
      </w:pPr>
      <w:bookmarkStart w:id="220" w:name="_Toc16069"/>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 xml:space="preserve"> 签订合同</w:t>
      </w:r>
      <w:bookmarkEnd w:id="220"/>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.1 招标人和中标人应当在中标通知书发出之日起30日内，根据招标文件和中标人的投标文件订立书面合同。中标人</w:t>
      </w:r>
      <w:r>
        <w:t>无正当理由</w:t>
      </w:r>
      <w:r>
        <w:rPr>
          <w:rFonts w:hint="eastAsia"/>
        </w:rPr>
        <w:t>拒签</w:t>
      </w:r>
      <w:r>
        <w:t>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.2 发出中标通知书后，招标人无正当理由拒签合同，或者</w:t>
      </w:r>
      <w:r>
        <w:t>在签订合同时</w:t>
      </w:r>
      <w:r>
        <w:rPr>
          <w:rFonts w:hint="eastAsia"/>
        </w:rPr>
        <w:t>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.3</w:t>
      </w:r>
      <w:r>
        <w:rPr>
          <w:rFonts w:ascii="Times New Roman" w:hAnsi="Times New Roman"/>
          <w:color w:val="000000"/>
          <w:szCs w:val="21"/>
        </w:rPr>
        <w:t>联合体中标的，联合体各方应当共同与招标人签订合同，就中标项目向招标人承担连带责任。</w:t>
      </w:r>
    </w:p>
    <w:p>
      <w:pPr>
        <w:pStyle w:val="3"/>
        <w:rPr>
          <w:rFonts w:ascii="Times New Roman" w:hAnsi="Times New Roman"/>
          <w:color w:val="000000"/>
        </w:rPr>
      </w:pPr>
      <w:bookmarkStart w:id="221" w:name="_Toc361508627"/>
      <w:bookmarkStart w:id="222" w:name="_Toc384308252"/>
      <w:bookmarkStart w:id="223" w:name="_Toc24067"/>
      <w:bookmarkStart w:id="224" w:name="_Toc11356"/>
      <w:bookmarkStart w:id="225" w:name="_Toc152045568"/>
      <w:bookmarkStart w:id="226" w:name="_Toc300834991"/>
      <w:bookmarkStart w:id="227" w:name="_Toc247513992"/>
      <w:bookmarkStart w:id="228" w:name="_Toc247527593"/>
      <w:bookmarkStart w:id="229" w:name="_Toc144974536"/>
      <w:bookmarkStart w:id="230" w:name="_Toc152042344"/>
      <w:r>
        <w:rPr>
          <w:rFonts w:hint="eastAsia" w:ascii="Times New Roman" w:hAnsi="Times New Roman"/>
          <w:color w:val="000000"/>
          <w:lang w:val="en-US" w:eastAsia="zh-CN"/>
        </w:rPr>
        <w:t>9</w:t>
      </w:r>
      <w:r>
        <w:rPr>
          <w:rFonts w:ascii="Times New Roman" w:hAnsi="Times New Roman"/>
          <w:color w:val="000000"/>
        </w:rPr>
        <w:t>.</w:t>
      </w:r>
      <w:bookmarkEnd w:id="221"/>
      <w:bookmarkEnd w:id="222"/>
      <w:bookmarkEnd w:id="223"/>
      <w:r>
        <w:rPr>
          <w:rFonts w:ascii="Times New Roman" w:hAnsi="Times New Roman"/>
          <w:color w:val="000000"/>
        </w:rPr>
        <w:t>纪律和监督</w:t>
      </w:r>
      <w:bookmarkEnd w:id="224"/>
    </w:p>
    <w:p>
      <w:pPr>
        <w:pStyle w:val="4"/>
        <w:spacing w:line="240" w:lineRule="auto"/>
        <w:ind w:firstLine="137"/>
        <w:rPr>
          <w:rFonts w:ascii="Times New Roman" w:hAnsi="Times New Roman"/>
          <w:color w:val="000000"/>
        </w:rPr>
      </w:pPr>
      <w:bookmarkStart w:id="231" w:name="_Toc1297"/>
      <w:r>
        <w:rPr>
          <w:rFonts w:hint="eastAsia" w:ascii="Times New Roman" w:hAnsi="Times New Roman"/>
          <w:color w:val="000000"/>
          <w:lang w:val="en-US" w:eastAsia="zh-CN"/>
        </w:rPr>
        <w:t>9</w:t>
      </w:r>
      <w:r>
        <w:rPr>
          <w:rFonts w:ascii="Times New Roman" w:hAnsi="Times New Roman"/>
          <w:color w:val="000000"/>
        </w:rPr>
        <w:t>.1 对招标人的纪律要求</w:t>
      </w:r>
      <w:bookmarkEnd w:id="231"/>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4"/>
        <w:spacing w:line="240" w:lineRule="auto"/>
        <w:ind w:firstLine="137"/>
        <w:rPr>
          <w:rFonts w:ascii="Times New Roman" w:hAnsi="Times New Roman"/>
          <w:color w:val="000000"/>
        </w:rPr>
      </w:pPr>
      <w:bookmarkStart w:id="232" w:name="_Toc27701"/>
      <w:r>
        <w:rPr>
          <w:rFonts w:hint="eastAsia" w:ascii="Times New Roman" w:hAnsi="Times New Roman"/>
          <w:color w:val="000000"/>
          <w:lang w:val="en-US" w:eastAsia="zh-CN"/>
        </w:rPr>
        <w:t>9</w:t>
      </w:r>
      <w:r>
        <w:rPr>
          <w:rFonts w:ascii="Times New Roman" w:hAnsi="Times New Roman"/>
          <w:color w:val="000000"/>
        </w:rPr>
        <w:t>.2 对投标人的纪律要求</w:t>
      </w:r>
      <w:bookmarkEnd w:id="232"/>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Times New Roman" w:hAnsi="Times New Roman"/>
          <w:color w:val="000000"/>
        </w:rPr>
      </w:pPr>
      <w:bookmarkStart w:id="233" w:name="_Toc8689"/>
      <w:r>
        <w:rPr>
          <w:rFonts w:hint="eastAsia" w:ascii="Times New Roman" w:hAnsi="Times New Roman"/>
          <w:color w:val="000000"/>
          <w:lang w:val="en-US" w:eastAsia="zh-CN"/>
        </w:rPr>
        <w:t>9</w:t>
      </w:r>
      <w:r>
        <w:rPr>
          <w:rFonts w:ascii="Times New Roman" w:hAnsi="Times New Roman"/>
          <w:color w:val="000000"/>
        </w:rPr>
        <w:t>.3 对评标委员会成员的纪律要求</w:t>
      </w:r>
      <w:bookmarkEnd w:id="233"/>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234" w:name="_Toc369531559"/>
      <w:bookmarkStart w:id="235" w:name="_Toc13644"/>
      <w:bookmarkStart w:id="236" w:name="_Toc361508628"/>
      <w:bookmarkStart w:id="237" w:name="_Toc384308253"/>
      <w:bookmarkStart w:id="238" w:name="_Toc352691515"/>
      <w:r>
        <w:rPr>
          <w:rFonts w:ascii="Times New Roman" w:hAnsi="Times New Roman"/>
          <w:color w:val="000000"/>
        </w:rPr>
        <w:t>和比较、中标候选人</w:t>
      </w:r>
      <w:bookmarkEnd w:id="225"/>
      <w:bookmarkEnd w:id="226"/>
      <w:bookmarkEnd w:id="227"/>
      <w:bookmarkEnd w:id="228"/>
      <w:bookmarkEnd w:id="229"/>
      <w:bookmarkEnd w:id="230"/>
      <w:bookmarkEnd w:id="234"/>
      <w:bookmarkEnd w:id="235"/>
      <w:bookmarkEnd w:id="236"/>
      <w:bookmarkEnd w:id="237"/>
      <w:bookmarkEnd w:id="238"/>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line="240" w:lineRule="auto"/>
        <w:ind w:firstLine="137"/>
        <w:rPr>
          <w:rFonts w:ascii="Times New Roman" w:hAnsi="Times New Roman"/>
          <w:color w:val="000000"/>
        </w:rPr>
      </w:pPr>
      <w:bookmarkStart w:id="239" w:name="_Toc17015"/>
      <w:r>
        <w:rPr>
          <w:rFonts w:hint="eastAsia" w:ascii="Times New Roman" w:hAnsi="Times New Roman"/>
          <w:color w:val="000000"/>
          <w:lang w:val="en-US" w:eastAsia="zh-CN"/>
        </w:rPr>
        <w:t>9</w:t>
      </w:r>
      <w:r>
        <w:rPr>
          <w:rFonts w:ascii="Times New Roman" w:hAnsi="Times New Roman"/>
          <w:color w:val="000000"/>
        </w:rPr>
        <w:t>.4 对与评标活动有关的工作人员的纪律要求</w:t>
      </w:r>
      <w:bookmarkEnd w:id="239"/>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240" w:name="_Toc300834992"/>
      <w:bookmarkStart w:id="241" w:name="_Toc152045569"/>
      <w:bookmarkStart w:id="242" w:name="_Toc352691516"/>
      <w:bookmarkStart w:id="243" w:name="_Toc369531560"/>
      <w:bookmarkStart w:id="244" w:name="_Toc19429"/>
      <w:bookmarkStart w:id="245" w:name="_Toc247513993"/>
      <w:bookmarkStart w:id="246" w:name="_Toc384308254"/>
      <w:bookmarkStart w:id="247" w:name="_Toc361508629"/>
      <w:bookmarkStart w:id="248" w:name="_Toc247527594"/>
      <w:bookmarkStart w:id="249" w:name="_Toc152042345"/>
      <w:bookmarkStart w:id="250" w:name="_Toc144974537"/>
      <w:r>
        <w:rPr>
          <w:rFonts w:ascii="Times New Roman" w:hAnsi="Times New Roman"/>
          <w:color w:val="000000"/>
        </w:rPr>
        <w:t>的评审和比较、中标</w:t>
      </w:r>
      <w:bookmarkEnd w:id="240"/>
      <w:bookmarkEnd w:id="241"/>
      <w:bookmarkEnd w:id="242"/>
      <w:bookmarkEnd w:id="243"/>
      <w:bookmarkEnd w:id="244"/>
      <w:bookmarkEnd w:id="245"/>
      <w:bookmarkEnd w:id="246"/>
      <w:bookmarkEnd w:id="247"/>
      <w:bookmarkEnd w:id="248"/>
      <w:bookmarkEnd w:id="249"/>
      <w:bookmarkEnd w:id="250"/>
      <w:r>
        <w:rPr>
          <w:rFonts w:ascii="Times New Roman" w:hAnsi="Times New Roman"/>
          <w:color w:val="000000"/>
        </w:rPr>
        <w:t>候选人的推荐情况以及评标有关的其他情况。在评标活动中，与评标活动有关的工作人员不得擅离职守，影响评标程序正常进行。</w:t>
      </w:r>
    </w:p>
    <w:p>
      <w:pPr>
        <w:pStyle w:val="4"/>
        <w:spacing w:line="240" w:lineRule="auto"/>
        <w:ind w:firstLine="137"/>
        <w:rPr>
          <w:rFonts w:ascii="Times New Roman" w:hAnsi="Times New Roman"/>
          <w:color w:val="000000"/>
        </w:rPr>
      </w:pPr>
      <w:bookmarkStart w:id="251" w:name="_Toc21027"/>
      <w:r>
        <w:rPr>
          <w:rFonts w:hint="eastAsia" w:ascii="Times New Roman" w:hAnsi="Times New Roman"/>
          <w:color w:val="000000"/>
          <w:lang w:val="en-US" w:eastAsia="zh-CN"/>
        </w:rPr>
        <w:t>9</w:t>
      </w:r>
      <w:r>
        <w:rPr>
          <w:rFonts w:ascii="Times New Roman" w:hAnsi="Times New Roman"/>
          <w:color w:val="000000"/>
        </w:rPr>
        <w:t>.5 投诉</w:t>
      </w:r>
      <w:bookmarkEnd w:id="251"/>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9</w:t>
      </w:r>
      <w:r>
        <w:rPr>
          <w:rFonts w:ascii="Times New Roman" w:hAnsi="Times New Roman"/>
          <w:color w:val="000000"/>
        </w:rPr>
        <w:t>.5.1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9</w:t>
      </w:r>
      <w:r>
        <w:rPr>
          <w:rFonts w:ascii="Times New Roman" w:hAnsi="Times New Roman"/>
          <w:color w:val="000000"/>
        </w:rPr>
        <w:t>.5.2 投标人或者其他利害关系人对招标文件、开标和评标结果提出投诉的，应当按照投标人须知第2.4款、第5.3款和第</w:t>
      </w:r>
      <w:r>
        <w:rPr>
          <w:rFonts w:hint="eastAsia" w:ascii="Times New Roman" w:hAnsi="Times New Roman"/>
          <w:color w:val="000000"/>
          <w:lang w:val="en-US" w:eastAsia="zh-CN"/>
        </w:rPr>
        <w:t>8</w:t>
      </w:r>
      <w:r>
        <w:rPr>
          <w:rFonts w:ascii="Times New Roman" w:hAnsi="Times New Roman"/>
          <w:color w:val="000000"/>
        </w:rPr>
        <w:t>.2款的规定先向招标人提出异议。异议答复期间</w:t>
      </w:r>
      <w:bookmarkStart w:id="252" w:name="_Toc369531561"/>
      <w:bookmarkStart w:id="253" w:name="_Toc152045570"/>
      <w:bookmarkStart w:id="254" w:name="_Toc361508630"/>
      <w:bookmarkStart w:id="255" w:name="_Toc144974538"/>
      <w:bookmarkStart w:id="256" w:name="_Toc12776"/>
      <w:bookmarkStart w:id="257" w:name="_Toc300834993"/>
      <w:bookmarkStart w:id="258" w:name="_Toc247527595"/>
      <w:bookmarkStart w:id="259" w:name="_Toc352691517"/>
      <w:bookmarkStart w:id="260" w:name="_Toc247513994"/>
      <w:bookmarkStart w:id="261" w:name="_Toc152042346"/>
      <w:bookmarkStart w:id="262" w:name="_Toc384308255"/>
      <w:r>
        <w:rPr>
          <w:rFonts w:ascii="Times New Roman" w:hAnsi="Times New Roman"/>
          <w:color w:val="000000"/>
        </w:rPr>
        <w:t>不计算在第</w:t>
      </w:r>
      <w:r>
        <w:rPr>
          <w:rFonts w:hint="eastAsia" w:ascii="Times New Roman" w:hAnsi="Times New Roman"/>
          <w:color w:val="000000"/>
          <w:lang w:val="en-US" w:eastAsia="zh-CN"/>
        </w:rPr>
        <w:t>9</w:t>
      </w:r>
      <w:r>
        <w:rPr>
          <w:rFonts w:ascii="Times New Roman" w:hAnsi="Times New Roman"/>
          <w:color w:val="000000"/>
        </w:rPr>
        <w:t>.5.</w:t>
      </w:r>
      <w:bookmarkEnd w:id="252"/>
      <w:bookmarkEnd w:id="253"/>
      <w:bookmarkEnd w:id="254"/>
      <w:bookmarkEnd w:id="255"/>
      <w:bookmarkEnd w:id="256"/>
      <w:bookmarkEnd w:id="257"/>
      <w:bookmarkEnd w:id="258"/>
      <w:bookmarkEnd w:id="259"/>
      <w:bookmarkEnd w:id="260"/>
      <w:bookmarkEnd w:id="261"/>
      <w:bookmarkEnd w:id="262"/>
      <w:r>
        <w:rPr>
          <w:rFonts w:ascii="Times New Roman" w:hAnsi="Times New Roman"/>
          <w:color w:val="000000"/>
        </w:rPr>
        <w:t>1项规定的期限内。</w:t>
      </w:r>
    </w:p>
    <w:p>
      <w:pPr>
        <w:pStyle w:val="3"/>
        <w:spacing w:line="240" w:lineRule="auto"/>
        <w:rPr>
          <w:rFonts w:ascii="Times New Roman" w:hAnsi="Times New Roman"/>
        </w:rPr>
      </w:pPr>
      <w:bookmarkStart w:id="263" w:name="_Toc27666"/>
      <w:bookmarkStart w:id="264" w:name="_Toc477134992"/>
      <w:r>
        <w:rPr>
          <w:rFonts w:hint="eastAsia" w:ascii="Times New Roman" w:hAnsi="Times New Roman"/>
          <w:lang w:val="en-US" w:eastAsia="zh-CN"/>
        </w:rPr>
        <w:t>10</w:t>
      </w:r>
      <w:r>
        <w:rPr>
          <w:rFonts w:ascii="Times New Roman" w:hAnsi="Times New Roman"/>
        </w:rPr>
        <w:t>. 是否采用电子招标投标</w:t>
      </w:r>
      <w:bookmarkEnd w:id="263"/>
      <w:bookmarkEnd w:id="264"/>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3"/>
        <w:spacing w:line="240" w:lineRule="auto"/>
        <w:rPr>
          <w:rFonts w:ascii="Times New Roman" w:hAnsi="Times New Roman"/>
          <w:color w:val="000000"/>
        </w:rPr>
      </w:pPr>
      <w:bookmarkStart w:id="265" w:name="_Toc11617"/>
      <w:r>
        <w:rPr>
          <w:rFonts w:ascii="Times New Roman" w:hAnsi="Times New Roman"/>
          <w:color w:val="000000"/>
        </w:rPr>
        <w:t>1</w:t>
      </w:r>
      <w:r>
        <w:rPr>
          <w:rFonts w:hint="eastAsia" w:ascii="Times New Roman" w:hAnsi="Times New Roman"/>
          <w:color w:val="000000"/>
          <w:lang w:val="en-US" w:eastAsia="zh-CN"/>
        </w:rPr>
        <w:t>1</w:t>
      </w:r>
      <w:r>
        <w:rPr>
          <w:rFonts w:ascii="Times New Roman" w:hAnsi="Times New Roman"/>
          <w:color w:val="000000"/>
        </w:rPr>
        <w:t>. 需要补充的其他内容</w:t>
      </w:r>
      <w:bookmarkEnd w:id="265"/>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黑体" w:eastAsia="黑体" w:cs="黑体"/>
          <w:color w:val="000000"/>
        </w:rPr>
      </w:pPr>
      <w:bookmarkStart w:id="266" w:name="_Toc15955"/>
      <w:r>
        <w:rPr>
          <w:rFonts w:hint="eastAsia" w:ascii="黑体" w:hAnsi="黑体" w:eastAsia="黑体" w:cs="黑体"/>
          <w:color w:val="000000"/>
        </w:rPr>
        <w:t>第三章评标办法</w:t>
      </w:r>
      <w:r>
        <w:rPr>
          <w:rFonts w:hint="eastAsia" w:ascii="黑体" w:hAnsi="黑体" w:eastAsia="黑体" w:cs="黑体"/>
        </w:rPr>
        <w:t>（</w:t>
      </w:r>
      <w:r>
        <w:rPr>
          <w:rFonts w:hint="eastAsia" w:ascii="黑体" w:hAnsi="黑体" w:eastAsia="黑体" w:cs="黑体"/>
          <w:lang w:val="en-US" w:eastAsia="zh-CN"/>
        </w:rPr>
        <w:t>监理</w:t>
      </w:r>
      <w:r>
        <w:rPr>
          <w:rFonts w:hint="eastAsia" w:ascii="黑体" w:hAnsi="黑体" w:eastAsia="黑体" w:cs="黑体"/>
        </w:rPr>
        <w:t>综合评估法）</w:t>
      </w:r>
      <w:bookmarkEnd w:id="266"/>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color w:val="000000"/>
        </w:rPr>
      </w:pPr>
      <w:bookmarkStart w:id="267" w:name="_Toc17997"/>
      <w:r>
        <w:rPr>
          <w:rFonts w:ascii="Times New Roman" w:hAnsi="Times New Roman"/>
          <w:color w:val="000000"/>
        </w:rPr>
        <w:t>评标办法前附表</w:t>
      </w:r>
      <w:bookmarkEnd w:id="267"/>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785"/>
        <w:gridCol w:w="2038"/>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462"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7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p>
        </w:tc>
        <w:tc>
          <w:tcPr>
            <w:tcW w:w="17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评标方法</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lang w:val="en-US" w:eastAsia="zh-CN"/>
              </w:rPr>
              <w:t>监理</w:t>
            </w:r>
            <w:r>
              <w:rPr>
                <w:rFonts w:hint="eastAsia" w:ascii="Times New Roman" w:hAnsi="Times New Roman"/>
                <w:color w:val="000000"/>
              </w:rPr>
              <w:t>综合评估法</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2.1.1</w:t>
            </w:r>
          </w:p>
        </w:tc>
        <w:tc>
          <w:tcPr>
            <w:tcW w:w="1785" w:type="dxa"/>
            <w:vMerge w:val="restart"/>
            <w:tcBorders>
              <w:top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形式评审标准</w:t>
            </w: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jc w:val="left"/>
              <w:textAlignment w:val="auto"/>
              <w:rPr>
                <w:rFonts w:ascii="Times New Roman" w:hAnsi="Times New Roman"/>
                <w:color w:val="000000"/>
              </w:rPr>
            </w:pPr>
            <w:r>
              <w:rPr>
                <w:rFonts w:hint="eastAsia" w:ascii="宋体" w:hAnsi="宋体"/>
                <w:szCs w:val="21"/>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textAlignment w:val="auto"/>
              <w:rPr>
                <w:rFonts w:ascii="Times New Roman" w:hAnsi="Times New Roman"/>
                <w:color w:val="000000"/>
              </w:rPr>
            </w:pPr>
            <w:r>
              <w:rPr>
                <w:rFonts w:hint="eastAsia" w:ascii="宋体" w:hAnsi="宋体"/>
                <w:szCs w:val="21"/>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nil"/>
              <w:bottom w:val="single" w:color="auto" w:sz="4" w:space="0"/>
              <w:right w:val="single" w:color="auto" w:sz="4" w:space="0"/>
            </w:tcBorders>
            <w:vAlign w:val="center"/>
          </w:tcPr>
          <w:p>
            <w:pPr>
              <w:rPr>
                <w:rFonts w:ascii="Times New Roman" w:hAnsi="Times New Roman"/>
              </w:rPr>
            </w:pPr>
          </w:p>
        </w:tc>
        <w:tc>
          <w:tcPr>
            <w:tcW w:w="1785" w:type="dxa"/>
            <w:vMerge w:val="continue"/>
            <w:tcBorders>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jc w:val="left"/>
              <w:textAlignment w:val="auto"/>
              <w:rPr>
                <w:rFonts w:ascii="Times New Roman" w:hAnsi="Times New Roman"/>
                <w:color w:val="000000"/>
              </w:rPr>
            </w:pPr>
            <w:r>
              <w:rPr>
                <w:rFonts w:hint="eastAsia" w:ascii="宋体" w:hAnsi="宋体"/>
                <w:szCs w:val="21"/>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textAlignment w:val="auto"/>
              <w:rPr>
                <w:rFonts w:ascii="Times New Roman" w:hAnsi="Times New Roman"/>
                <w:color w:val="000000"/>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nil"/>
              <w:bottom w:val="single" w:color="auto" w:sz="4" w:space="0"/>
              <w:right w:val="single" w:color="auto" w:sz="4" w:space="0"/>
            </w:tcBorders>
            <w:vAlign w:val="center"/>
          </w:tcPr>
          <w:p>
            <w:pPr>
              <w:rPr>
                <w:rFonts w:ascii="Times New Roman" w:hAnsi="Times New Roman"/>
              </w:rPr>
            </w:pPr>
          </w:p>
        </w:tc>
        <w:tc>
          <w:tcPr>
            <w:tcW w:w="1785" w:type="dxa"/>
            <w:vMerge w:val="continue"/>
            <w:tcBorders>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jc w:val="left"/>
              <w:textAlignment w:val="auto"/>
              <w:rPr>
                <w:rFonts w:ascii="Times New Roman" w:hAnsi="Times New Roman"/>
                <w:color w:val="000000"/>
              </w:rPr>
            </w:pPr>
            <w:r>
              <w:rPr>
                <w:rFonts w:hint="eastAsia" w:ascii="宋体" w:hAnsi="宋体"/>
                <w:szCs w:val="21"/>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textAlignment w:val="auto"/>
              <w:rPr>
                <w:rFonts w:ascii="Times New Roman" w:hAnsi="Times New Roman"/>
                <w:color w:val="000000"/>
              </w:rPr>
            </w:pPr>
            <w:r>
              <w:rPr>
                <w:rFonts w:hint="eastAsia" w:ascii="宋体" w:hAnsi="宋体"/>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nil"/>
              <w:bottom w:val="single" w:color="auto" w:sz="4" w:space="0"/>
              <w:right w:val="single" w:color="auto" w:sz="4" w:space="0"/>
            </w:tcBorders>
            <w:vAlign w:val="center"/>
          </w:tcPr>
          <w:p>
            <w:pPr>
              <w:rPr>
                <w:rFonts w:ascii="Times New Roman" w:hAnsi="Times New Roman"/>
              </w:rPr>
            </w:pPr>
          </w:p>
        </w:tc>
        <w:tc>
          <w:tcPr>
            <w:tcW w:w="1785" w:type="dxa"/>
            <w:vMerge w:val="continue"/>
            <w:tcBorders>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jc w:val="left"/>
              <w:textAlignment w:val="auto"/>
              <w:rPr>
                <w:rFonts w:ascii="Times New Roman" w:hAnsi="Times New Roman"/>
                <w:color w:val="000000"/>
              </w:rPr>
            </w:pPr>
            <w:r>
              <w:rPr>
                <w:rFonts w:hint="eastAsia" w:ascii="宋体" w:hAnsi="宋体"/>
                <w:szCs w:val="21"/>
              </w:rPr>
              <w:t>联合体投标人（如有）</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43" w:beforeLines="50" w:after="143" w:afterLines="50" w:line="240" w:lineRule="auto"/>
              <w:textAlignment w:val="auto"/>
              <w:rPr>
                <w:rFonts w:ascii="Times New Roman" w:hAnsi="Times New Roman"/>
                <w:color w:val="000000"/>
              </w:rPr>
            </w:pPr>
            <w:r>
              <w:rPr>
                <w:rFonts w:hint="eastAsia" w:ascii="宋体" w:hAnsi="宋体"/>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nil"/>
              <w:bottom w:val="single" w:color="auto" w:sz="4" w:space="0"/>
              <w:right w:val="single" w:color="auto" w:sz="4" w:space="0"/>
            </w:tcBorders>
            <w:vAlign w:val="center"/>
          </w:tcPr>
          <w:p>
            <w:pPr>
              <w:rPr>
                <w:rFonts w:ascii="Times New Roman" w:hAnsi="Times New Roman"/>
              </w:rPr>
            </w:pPr>
          </w:p>
        </w:tc>
        <w:tc>
          <w:tcPr>
            <w:tcW w:w="1785" w:type="dxa"/>
            <w:vMerge w:val="continue"/>
            <w:tcBorders>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auto"/>
                <w:highlight w:val="yellow"/>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auto"/>
                <w:highlight w:val="yellow"/>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2.1.2</w:t>
            </w:r>
          </w:p>
        </w:tc>
        <w:tc>
          <w:tcPr>
            <w:tcW w:w="178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资格评审标准</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营业执照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符合第二章“投标人须知”第3.5.1项规定，具备有效的营业执照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资质要求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财务要求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业绩要求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信誉要求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总监理工程师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其他主要人员</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试验检测仪器</w:t>
            </w:r>
            <w:r>
              <w:rPr>
                <w:rFonts w:ascii="Times New Roman" w:hAnsi="Times New Roman"/>
                <w:color w:val="000000"/>
              </w:rPr>
              <w:t>设备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2.1.3</w:t>
            </w:r>
          </w:p>
        </w:tc>
        <w:tc>
          <w:tcPr>
            <w:tcW w:w="1785"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响应性评审标准</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w:t>
            </w:r>
          </w:p>
        </w:tc>
        <w:tc>
          <w:tcPr>
            <w:tcW w:w="4680"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投标内容</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监理服务期限</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质量标准</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3</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color w:val="000000"/>
              </w:rPr>
              <w:t>投标</w:t>
            </w:r>
            <w:r>
              <w:rPr>
                <w:rFonts w:ascii="Times New Roman" w:hAnsi="Times New Roman"/>
              </w:rPr>
              <w:t>有效期</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color w:val="000000"/>
              </w:rPr>
              <w:t>符合第二章“投标人须知”第3.</w:t>
            </w:r>
            <w:r>
              <w:rPr>
                <w:rFonts w:ascii="Times New Roman" w:hAnsi="Times New Roman"/>
              </w:rPr>
              <w:t>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投标保证金</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符合第二章“投标人须知”第3.4</w:t>
            </w:r>
            <w:r>
              <w:rPr>
                <w:rFonts w:hint="eastAsia" w:ascii="Times New Roman" w:hAnsi="Times New Roman"/>
              </w:rPr>
              <w:t>.1项</w:t>
            </w:r>
            <w:r>
              <w:rPr>
                <w:rFonts w:ascii="Times New Roman" w:hAnsi="Times New Roman"/>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权利义务</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w:t>
            </w:r>
            <w:r>
              <w:rPr>
                <w:rFonts w:hint="eastAsia" w:ascii="Times New Roman" w:hAnsi="Times New Roman"/>
              </w:rPr>
              <w:t>第1.1</w:t>
            </w:r>
            <w:r>
              <w:rPr>
                <w:rFonts w:hint="eastAsia" w:ascii="Times New Roman" w:hAnsi="Times New Roman"/>
                <w:lang w:val="en-US" w:eastAsia="zh-CN"/>
              </w:rPr>
              <w:t>0</w:t>
            </w:r>
            <w:r>
              <w:rPr>
                <w:rFonts w:hint="eastAsia" w:ascii="Times New Roman" w:hAnsi="Times New Roman"/>
              </w:rPr>
              <w:t>.1项规定和</w:t>
            </w:r>
            <w:r>
              <w:rPr>
                <w:rFonts w:ascii="Times New Roman" w:hAnsi="Times New Roman"/>
              </w:rPr>
              <w:t>第</w:t>
            </w:r>
            <w:r>
              <w:rPr>
                <w:rFonts w:hint="eastAsia" w:ascii="Times New Roman" w:hAnsi="Times New Roman"/>
                <w:lang w:val="en-US" w:eastAsia="zh-CN"/>
              </w:rPr>
              <w:t>五</w:t>
            </w:r>
            <w:r>
              <w:rPr>
                <w:rFonts w:ascii="Times New Roman" w:hAnsi="Times New Roman"/>
              </w:rPr>
              <w:t>章“合同条款及格式”中的</w:t>
            </w:r>
            <w:r>
              <w:rPr>
                <w:rFonts w:ascii="Times New Roman" w:hAnsi="Times New Roman"/>
                <w:color w:val="000000"/>
              </w:rPr>
              <w:t>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677"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038"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监理大纲</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w:t>
            </w:r>
            <w:r>
              <w:rPr>
                <w:rFonts w:hint="eastAsia" w:ascii="Times New Roman" w:hAnsi="Times New Roman"/>
                <w:lang w:val="en-US" w:eastAsia="zh-CN"/>
              </w:rPr>
              <w:t>六</w:t>
            </w:r>
            <w:r>
              <w:rPr>
                <w:rFonts w:ascii="Times New Roman" w:hAnsi="Times New Roman"/>
              </w:rPr>
              <w:t>章“委托人要求”中的实质性要求和条件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62"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62" w:type="dxa"/>
            <w:gridSpan w:val="2"/>
            <w:tcBorders>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分值构成</w:t>
            </w:r>
          </w:p>
          <w:p>
            <w:pPr>
              <w:spacing w:line="440" w:lineRule="exact"/>
              <w:jc w:val="left"/>
              <w:rPr>
                <w:rFonts w:ascii="Times New Roman" w:hAnsi="Times New Roman"/>
                <w:color w:val="000000"/>
              </w:rPr>
            </w:pPr>
            <w:r>
              <w:rPr>
                <w:rFonts w:ascii="Times New Roman" w:hAnsi="Times New Roman"/>
                <w:color w:val="000000"/>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综合标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技术标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经济标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hint="eastAsia" w:ascii="Times New Roman" w:hAnsi="Times New Roman" w:eastAsia="宋体"/>
                <w:color w:val="000000"/>
                <w:lang w:eastAsia="zh-CN"/>
              </w:rPr>
            </w:pPr>
            <w:commentRangeStart w:id="5"/>
            <w:r>
              <w:rPr>
                <w:rFonts w:hint="eastAsia" w:ascii="宋体" w:hAnsi="宋体"/>
                <w:b/>
                <w:bCs/>
                <w:szCs w:val="21"/>
                <w:lang w:val="en-US" w:eastAsia="zh-CN"/>
              </w:rPr>
              <w:t>评标办法分值构成需按照现行有效的政策文件进行执行</w:t>
            </w:r>
            <w:r>
              <w:rPr>
                <w:rFonts w:hint="eastAsia" w:ascii="宋体" w:hAnsi="宋体"/>
                <w:b/>
                <w:bCs/>
                <w:szCs w:val="21"/>
              </w:rPr>
              <w:t>。</w:t>
            </w:r>
            <w:commentRangeEnd w:id="5"/>
            <w:r>
              <w:commentReference w:id="5"/>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62"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03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lang w:val="en-US" w:eastAsia="zh-CN"/>
              </w:rPr>
              <w:t xml:space="preserve">                  </w:t>
            </w:r>
            <w:r>
              <w:rPr>
                <w:rFonts w:hint="eastAsia"/>
                <w:color w:val="000000"/>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462"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038"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投标报价的偏差率</w:t>
            </w:r>
          </w:p>
          <w:p>
            <w:pPr>
              <w:spacing w:line="440" w:lineRule="exact"/>
              <w:jc w:val="left"/>
              <w:rPr>
                <w:rFonts w:ascii="Times New Roman" w:hAnsi="Times New Roman"/>
                <w:color w:val="000000"/>
              </w:rPr>
            </w:pPr>
            <w:r>
              <w:rPr>
                <w:rFonts w:ascii="Times New Roman" w:hAnsi="Times New Roman"/>
                <w:color w:val="000000"/>
              </w:rPr>
              <w:t>计算公式</w:t>
            </w:r>
          </w:p>
        </w:tc>
        <w:tc>
          <w:tcPr>
            <w:tcW w:w="4680" w:type="dxa"/>
            <w:tcBorders>
              <w:top w:val="single" w:color="auto" w:sz="4" w:space="0"/>
              <w:left w:val="single" w:color="auto" w:sz="4" w:space="0"/>
              <w:right w:val="single" w:color="auto" w:sz="4" w:space="0"/>
            </w:tcBorders>
            <w:vAlign w:val="center"/>
          </w:tcPr>
          <w:p>
            <w:pPr>
              <w:spacing w:line="240" w:lineRule="auto"/>
              <w:rPr>
                <w:rFonts w:hint="eastAsia" w:ascii="宋体" w:hAnsi="宋体"/>
                <w:szCs w:val="21"/>
              </w:rPr>
            </w:pPr>
            <w:r>
              <w:rPr>
                <w:rFonts w:hint="eastAsia" w:ascii="宋体" w:hAnsi="宋体"/>
                <w:szCs w:val="21"/>
              </w:rPr>
              <w:t>偏差率=100%×（投标人报价－评标基准价）</w:t>
            </w:r>
          </w:p>
          <w:p>
            <w:pPr>
              <w:spacing w:line="440" w:lineRule="exact"/>
              <w:rPr>
                <w:rFonts w:ascii="Times New Roman" w:hAnsi="Times New Roman"/>
                <w:color w:val="000000"/>
              </w:rPr>
            </w:pPr>
            <w:r>
              <w:rPr>
                <w:rFonts w:hint="eastAsia" w:ascii="宋体" w:hAnsi="宋体"/>
                <w:szCs w:val="21"/>
              </w:rPr>
              <w:t>/评标基准价</w:t>
            </w:r>
          </w:p>
        </w:tc>
      </w:tr>
    </w:tbl>
    <w:p>
      <w:pPr>
        <w:rPr>
          <w:rFonts w:ascii="Times New Roman" w:hAnsi="Times New Roman"/>
        </w:rPr>
      </w:pPr>
      <w:r>
        <w:rPr>
          <w:rFonts w:ascii="Times New Roman" w:hAnsi="Times New Roman"/>
        </w:rPr>
        <w:br w:type="page"/>
      </w:r>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综合标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信誉</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bookmarkStart w:id="268" w:name="_Toc361508645"/>
            <w:bookmarkStart w:id="269" w:name="_Toc12369"/>
            <w:bookmarkStart w:id="270" w:name="_Toc144974553"/>
            <w:bookmarkStart w:id="271" w:name="_Toc152045586"/>
            <w:bookmarkStart w:id="272" w:name="_Toc352691532"/>
            <w:bookmarkStart w:id="273" w:name="_Toc247514010"/>
            <w:bookmarkStart w:id="274" w:name="_Toc152042363"/>
            <w:bookmarkStart w:id="275" w:name="_Toc369531576"/>
            <w:bookmarkStart w:id="276" w:name="_Toc247527611"/>
            <w:bookmarkStart w:id="277" w:name="_Toc300835007"/>
            <w:bookmarkStart w:id="278" w:name="_Toc384308271"/>
            <w:r>
              <w:rPr>
                <w:rFonts w:ascii="Times New Roman" w:hAnsi="Times New Roman"/>
              </w:rPr>
              <w:t>……</w:t>
            </w:r>
          </w:p>
        </w:tc>
      </w:tr>
      <w:bookmarkEnd w:id="268"/>
      <w:bookmarkEnd w:id="269"/>
      <w:bookmarkEnd w:id="270"/>
      <w:bookmarkEnd w:id="271"/>
      <w:bookmarkEnd w:id="272"/>
      <w:bookmarkEnd w:id="273"/>
      <w:bookmarkEnd w:id="274"/>
      <w:bookmarkEnd w:id="275"/>
      <w:bookmarkEnd w:id="276"/>
      <w:bookmarkEnd w:id="277"/>
      <w:bookmarkEnd w:id="278"/>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类似项目业绩</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总监理工程师资历和业绩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其他</w:t>
            </w:r>
            <w:r>
              <w:rPr>
                <w:rFonts w:hint="eastAsia" w:ascii="Times New Roman" w:hAnsi="Times New Roman"/>
              </w:rPr>
              <w:t>主要</w:t>
            </w:r>
            <w:r>
              <w:rPr>
                <w:rFonts w:ascii="Times New Roman" w:hAnsi="Times New Roman"/>
              </w:rPr>
              <w:t>人员资历和业绩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拟投入的试验检测仪器设备</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2.2.4（2）</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技术标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监理范围、监理内容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continue"/>
            <w:tcBorders>
              <w:right w:val="single" w:color="auto" w:sz="4" w:space="0"/>
            </w:tcBorders>
            <w:vAlign w:val="center"/>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监理依据、</w:t>
            </w:r>
            <w:r>
              <w:rPr>
                <w:rFonts w:ascii="Times New Roman" w:hAnsi="Times New Roman"/>
              </w:rPr>
              <w:t>监理工作目标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监理机构设置和岗位职责</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监理工作程序、方法和制度</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质量、进度、造价、安全、环保监理措施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合同、信息管理方案</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szCs w:val="21"/>
              </w:rPr>
            </w:pPr>
            <w:r>
              <w:rPr>
                <w:rFonts w:ascii="Times New Roman" w:hAnsi="Times New Roman"/>
                <w:szCs w:val="21"/>
              </w:rPr>
              <w:t>监理组织协调内容及措施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监理工作重点、难点分析</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szCs w:val="21"/>
              </w:rPr>
            </w:pPr>
            <w:r>
              <w:rPr>
                <w:rFonts w:ascii="Times New Roman" w:hAnsi="Times New Roman"/>
                <w:szCs w:val="21"/>
              </w:rPr>
              <w:t>合理化建议</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经济标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20" w:lineRule="atLeast"/>
              <w:jc w:val="left"/>
              <w:rPr>
                <w:rFonts w:ascii="Times New Roman" w:hAnsi="Times New Roman"/>
              </w:rPr>
            </w:pPr>
            <w:r>
              <w:rPr>
                <w:rFonts w:ascii="Times New Roman" w:hAnsi="Times New Roman"/>
              </w:rPr>
              <w:t>偏差率</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2.2.4（4）</w:t>
            </w:r>
          </w:p>
        </w:tc>
        <w:tc>
          <w:tcPr>
            <w:tcW w:w="1124"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宋体" w:hAnsi="宋体"/>
                <w:szCs w:val="21"/>
              </w:rPr>
              <w:t>投标单位诚信状况扣分</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commentRangeStart w:id="6"/>
            <w:r>
              <w:rPr>
                <w:rFonts w:hint="eastAsia" w:ascii="宋体" w:hAnsi="宋体"/>
                <w:szCs w:val="21"/>
                <w:lang w:val="en-US" w:eastAsia="zh-CN"/>
              </w:rPr>
              <w:t>企业信誉部分按照呼城建委发[2011]125号、呼城建委发[2014]722号、呼城建委发[2014]100号文件执行。</w:t>
            </w:r>
            <w:commentRangeEnd w:id="6"/>
            <w:r>
              <w:commentReference w:id="6"/>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continue"/>
            <w:tcBorders>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c>
          <w:tcPr>
            <w:tcW w:w="1124" w:type="dxa"/>
            <w:vMerge w:val="continue"/>
            <w:tcBorders>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szCs w:val="21"/>
              </w:rPr>
            </w:pPr>
            <w:r>
              <w:rPr>
                <w:rFonts w:hint="eastAsia" w:ascii="宋体" w:hAnsi="宋体"/>
                <w:szCs w:val="21"/>
                <w:lang w:val="en-US" w:eastAsia="zh-CN"/>
              </w:rPr>
              <w:t>投标单位加分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olor w:val="000000"/>
              </w:rPr>
            </w:pPr>
            <w:r>
              <w:rPr>
                <w:rFonts w:hint="eastAsia" w:ascii="宋体" w:hAnsi="宋体"/>
                <w:szCs w:val="21"/>
                <w:lang w:val="en-US" w:eastAsia="zh-CN"/>
              </w:rPr>
              <w:t>按照现行有效政策文件进行加分</w:t>
            </w:r>
            <w:r>
              <w:commentReference w:id="7"/>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279" w:name="_Toc4507"/>
      <w:r>
        <w:rPr>
          <w:rFonts w:ascii="Times New Roman" w:hAnsi="Times New Roman"/>
          <w:color w:val="000000"/>
        </w:rPr>
        <w:t>1. 评标方法</w:t>
      </w:r>
      <w:bookmarkEnd w:id="279"/>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w:t>
      </w:r>
      <w:r>
        <w:rPr>
          <w:rFonts w:hint="eastAsia" w:ascii="Times New Roman" w:hAnsi="Times New Roman"/>
          <w:color w:val="000000"/>
          <w:lang w:eastAsia="zh-CN"/>
        </w:rPr>
        <w:t>，</w:t>
      </w:r>
      <w:r>
        <w:rPr>
          <w:rFonts w:ascii="Times New Roman" w:hAnsi="Times New Roman"/>
          <w:color w:val="000000"/>
        </w:rPr>
        <w:t>但投标报价低于其成本的除</w:t>
      </w:r>
      <w:bookmarkStart w:id="280" w:name="_Toc144974565"/>
      <w:bookmarkStart w:id="281" w:name="_Toc247527623"/>
      <w:bookmarkStart w:id="282" w:name="_Toc384308272"/>
      <w:bookmarkStart w:id="283" w:name="_Toc361508646"/>
      <w:bookmarkStart w:id="284" w:name="_Toc152042375"/>
      <w:bookmarkStart w:id="285" w:name="_Toc247514022"/>
      <w:bookmarkStart w:id="286" w:name="_Toc300835008"/>
      <w:bookmarkStart w:id="287" w:name="_Toc152045598"/>
      <w:bookmarkStart w:id="288" w:name="_Toc352691533"/>
      <w:bookmarkStart w:id="289" w:name="_Toc4497"/>
      <w:bookmarkStart w:id="290" w:name="_Toc369531577"/>
      <w:r>
        <w:rPr>
          <w:rFonts w:ascii="Times New Roman" w:hAnsi="Times New Roman"/>
          <w:color w:val="000000"/>
        </w:rPr>
        <w:t>外。综合评分相等</w:t>
      </w:r>
      <w:bookmarkEnd w:id="280"/>
      <w:bookmarkEnd w:id="281"/>
      <w:bookmarkEnd w:id="282"/>
      <w:bookmarkEnd w:id="283"/>
      <w:bookmarkEnd w:id="284"/>
      <w:bookmarkEnd w:id="285"/>
      <w:bookmarkEnd w:id="286"/>
      <w:bookmarkEnd w:id="287"/>
      <w:r>
        <w:rPr>
          <w:rFonts w:ascii="Times New Roman" w:hAnsi="Times New Roman"/>
          <w:color w:val="000000"/>
        </w:rPr>
        <w:t>时，以投标报价低的</w:t>
      </w:r>
      <w:bookmarkEnd w:id="288"/>
      <w:bookmarkEnd w:id="289"/>
      <w:bookmarkEnd w:id="290"/>
      <w:r>
        <w:rPr>
          <w:rFonts w:ascii="Times New Roman" w:hAnsi="Times New Roman"/>
          <w:color w:val="000000"/>
        </w:rPr>
        <w:t>优</w:t>
      </w:r>
      <w:bookmarkStart w:id="291" w:name="_Toc144974566"/>
      <w:bookmarkStart w:id="292" w:name="_Toc384308273"/>
      <w:bookmarkStart w:id="293" w:name="_Toc247527624"/>
      <w:bookmarkStart w:id="294" w:name="_Toc369531578"/>
      <w:bookmarkStart w:id="295" w:name="_Toc300835009"/>
      <w:bookmarkStart w:id="296" w:name="_Toc352691534"/>
      <w:bookmarkStart w:id="297" w:name="_Toc39"/>
      <w:bookmarkStart w:id="298" w:name="_Toc152045599"/>
      <w:bookmarkStart w:id="299" w:name="_Toc247514023"/>
      <w:bookmarkStart w:id="300" w:name="_Toc152042376"/>
      <w:bookmarkStart w:id="301" w:name="_Toc361508647"/>
      <w:r>
        <w:rPr>
          <w:rFonts w:ascii="Times New Roman" w:hAnsi="Times New Roman"/>
          <w:color w:val="000000"/>
        </w:rPr>
        <w:t>先；投标报价也相等</w:t>
      </w:r>
      <w:bookmarkEnd w:id="291"/>
      <w:bookmarkEnd w:id="292"/>
      <w:bookmarkEnd w:id="293"/>
      <w:bookmarkEnd w:id="294"/>
      <w:bookmarkEnd w:id="295"/>
      <w:bookmarkEnd w:id="296"/>
      <w:bookmarkEnd w:id="297"/>
      <w:bookmarkEnd w:id="298"/>
      <w:bookmarkEnd w:id="299"/>
      <w:bookmarkEnd w:id="300"/>
      <w:bookmarkEnd w:id="301"/>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监理大纲得分高的优先</w:t>
      </w:r>
      <w:r>
        <w:rPr>
          <w:rFonts w:hint="eastAsia" w:ascii="Times New Roman" w:hAnsi="Times New Roman"/>
          <w:color w:val="000000"/>
        </w:rPr>
        <w:t>；</w:t>
      </w:r>
      <w:r>
        <w:rPr>
          <w:rFonts w:ascii="Times New Roman" w:hAnsi="Times New Roman"/>
          <w:color w:val="000000"/>
        </w:rPr>
        <w:t>如果监理大纲得分也相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3"/>
        <w:rPr>
          <w:rFonts w:ascii="Times New Roman" w:hAnsi="Times New Roman"/>
          <w:color w:val="000000"/>
        </w:rPr>
      </w:pPr>
      <w:bookmarkStart w:id="302" w:name="_Toc2797"/>
      <w:r>
        <w:rPr>
          <w:rFonts w:ascii="Times New Roman" w:hAnsi="Times New Roman"/>
          <w:color w:val="000000"/>
        </w:rPr>
        <w:t>2. 评审标准</w:t>
      </w:r>
      <w:bookmarkEnd w:id="302"/>
    </w:p>
    <w:p>
      <w:pPr>
        <w:pStyle w:val="4"/>
        <w:spacing w:line="240" w:lineRule="auto"/>
        <w:ind w:firstLine="137"/>
        <w:rPr>
          <w:rFonts w:ascii="Times New Roman" w:hAnsi="Times New Roman"/>
          <w:color w:val="000000"/>
        </w:rPr>
      </w:pPr>
      <w:bookmarkStart w:id="303" w:name="_Toc15992"/>
      <w:r>
        <w:rPr>
          <w:rFonts w:ascii="Times New Roman" w:hAnsi="Times New Roman"/>
          <w:color w:val="000000"/>
        </w:rPr>
        <w:t>2.1 初步评审标准</w:t>
      </w:r>
      <w:bookmarkEnd w:id="303"/>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4"/>
        <w:spacing w:line="240" w:lineRule="auto"/>
        <w:ind w:firstLine="137"/>
        <w:rPr>
          <w:rFonts w:ascii="Times New Roman" w:hAnsi="Times New Roman"/>
          <w:color w:val="000000"/>
        </w:rPr>
      </w:pPr>
      <w:bookmarkStart w:id="304" w:name="_Toc29126"/>
      <w:r>
        <w:rPr>
          <w:rFonts w:ascii="Times New Roman" w:hAnsi="Times New Roman"/>
          <w:color w:val="000000"/>
        </w:rPr>
        <w:t>2.2 分值构成与评分标准</w:t>
      </w:r>
      <w:bookmarkEnd w:id="304"/>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w:t>
      </w:r>
      <w:r>
        <w:rPr>
          <w:rFonts w:hint="eastAsia" w:ascii="Times New Roman" w:hAnsi="Times New Roman"/>
          <w:color w:val="000000"/>
          <w:lang w:val="en-US" w:eastAsia="zh-CN"/>
        </w:rPr>
        <w:t>标</w:t>
      </w:r>
      <w:r>
        <w:rPr>
          <w:rFonts w:ascii="Times New Roman" w:hAnsi="Times New Roman"/>
          <w:color w:val="000000"/>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（4）其他</w:t>
      </w:r>
      <w:r>
        <w:rPr>
          <w:rFonts w:hint="eastAsia" w:ascii="Times New Roman" w:hAnsi="Times New Roman"/>
          <w:lang w:val="en-US" w:eastAsia="zh-CN"/>
        </w:rPr>
        <w:t>标</w:t>
      </w:r>
      <w:r>
        <w:rPr>
          <w:rFonts w:ascii="Times New Roman" w:hAnsi="Times New Roman"/>
        </w:rPr>
        <w:t>评分标准：见评标办法前附表。</w:t>
      </w:r>
    </w:p>
    <w:p>
      <w:pPr>
        <w:pStyle w:val="3"/>
        <w:rPr>
          <w:rFonts w:ascii="Times New Roman" w:hAnsi="Times New Roman"/>
          <w:color w:val="000000"/>
        </w:rPr>
      </w:pPr>
      <w:bookmarkStart w:id="305" w:name="_Toc10431"/>
      <w:r>
        <w:rPr>
          <w:rFonts w:ascii="Times New Roman" w:hAnsi="Times New Roman"/>
          <w:color w:val="000000"/>
        </w:rPr>
        <w:t>3. 评标程序</w:t>
      </w:r>
      <w:bookmarkEnd w:id="305"/>
    </w:p>
    <w:p>
      <w:pPr>
        <w:pStyle w:val="4"/>
        <w:spacing w:line="240" w:lineRule="auto"/>
        <w:ind w:firstLine="137"/>
        <w:rPr>
          <w:rFonts w:ascii="Times New Roman" w:hAnsi="Times New Roman"/>
          <w:color w:val="000000"/>
        </w:rPr>
      </w:pPr>
      <w:bookmarkStart w:id="306" w:name="_Toc8474"/>
      <w:r>
        <w:rPr>
          <w:rFonts w:ascii="Times New Roman" w:hAnsi="Times New Roman"/>
          <w:color w:val="000000"/>
        </w:rPr>
        <w:t>3.1 初步评审</w:t>
      </w:r>
      <w:bookmarkEnd w:id="306"/>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307" w:name="_Toc352691538"/>
      <w:bookmarkStart w:id="308" w:name="_Toc300835013"/>
      <w:bookmarkStart w:id="309" w:name="_Toc247514027"/>
      <w:bookmarkStart w:id="310" w:name="_Toc144974570"/>
      <w:bookmarkStart w:id="311" w:name="_Toc384308277"/>
      <w:bookmarkStart w:id="312" w:name="_Toc361508651"/>
      <w:bookmarkStart w:id="313" w:name="_Toc369531582"/>
      <w:bookmarkStart w:id="314" w:name="_Toc152042380"/>
      <w:bookmarkStart w:id="315" w:name="_Toc152045603"/>
      <w:bookmarkStart w:id="316" w:name="_Toc247527628"/>
      <w:bookmarkStart w:id="317" w:name="_Toc2907"/>
      <w:r>
        <w:rPr>
          <w:rFonts w:ascii="Times New Roman" w:hAnsi="Times New Roman"/>
          <w:color w:val="000000"/>
        </w:rPr>
        <w:t>行修正，并要求投标人书面澄清确认。</w:t>
      </w:r>
      <w:bookmarkEnd w:id="307"/>
      <w:bookmarkEnd w:id="308"/>
      <w:bookmarkEnd w:id="309"/>
      <w:bookmarkEnd w:id="310"/>
      <w:bookmarkEnd w:id="311"/>
      <w:bookmarkEnd w:id="312"/>
      <w:bookmarkEnd w:id="313"/>
      <w:bookmarkEnd w:id="314"/>
      <w:bookmarkEnd w:id="315"/>
      <w:bookmarkEnd w:id="316"/>
      <w:bookmarkEnd w:id="317"/>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r>
        <w:rPr>
          <w:rFonts w:hint="eastAsia" w:ascii="Times New Roman" w:hAnsi="Times New Roman"/>
          <w:color w:val="000000"/>
        </w:rPr>
        <w:t>。</w:t>
      </w:r>
    </w:p>
    <w:p>
      <w:pPr>
        <w:pStyle w:val="4"/>
        <w:spacing w:line="240" w:lineRule="auto"/>
        <w:ind w:firstLine="137"/>
        <w:rPr>
          <w:rFonts w:ascii="Times New Roman" w:hAnsi="Times New Roman"/>
          <w:color w:val="000000"/>
        </w:rPr>
      </w:pPr>
      <w:bookmarkStart w:id="318" w:name="_Toc28774"/>
      <w:r>
        <w:rPr>
          <w:rFonts w:ascii="Times New Roman" w:hAnsi="Times New Roman"/>
          <w:color w:val="000000"/>
        </w:rPr>
        <w:t>3.2 详细评审</w:t>
      </w:r>
      <w:bookmarkEnd w:id="318"/>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w:t>
      </w:r>
      <w:r>
        <w:rPr>
          <w:rFonts w:hint="eastAsia" w:ascii="Times New Roman" w:hAnsi="Times New Roman"/>
          <w:color w:val="000000"/>
          <w:lang w:val="en-US" w:eastAsia="zh-CN"/>
        </w:rPr>
        <w:t>综合标</w:t>
      </w:r>
      <w:r>
        <w:rPr>
          <w:rFonts w:ascii="Times New Roman" w:hAnsi="Times New Roman"/>
          <w:color w:val="000000"/>
        </w:rPr>
        <w:t>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w:t>
      </w:r>
      <w:r>
        <w:rPr>
          <w:rFonts w:hint="eastAsia" w:ascii="Times New Roman" w:hAnsi="Times New Roman"/>
          <w:color w:val="000000"/>
          <w:lang w:val="en-US" w:eastAsia="zh-CN"/>
        </w:rPr>
        <w:t>技术标</w:t>
      </w:r>
      <w:r>
        <w:rPr>
          <w:rFonts w:ascii="Times New Roman" w:hAnsi="Times New Roman"/>
          <w:color w:val="000000"/>
        </w:rPr>
        <w:t>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319" w:name="_Toc247514028"/>
      <w:bookmarkStart w:id="320" w:name="_Toc300835014"/>
      <w:bookmarkStart w:id="321" w:name="_Toc247527629"/>
      <w:bookmarkStart w:id="322" w:name="_Toc369531583"/>
      <w:bookmarkStart w:id="323" w:name="_Toc361508652"/>
      <w:bookmarkStart w:id="324" w:name="_Toc152042381"/>
      <w:bookmarkStart w:id="325" w:name="_Toc384308278"/>
      <w:bookmarkStart w:id="326" w:name="_Toc352691539"/>
      <w:bookmarkStart w:id="327" w:name="_Toc152045604"/>
      <w:bookmarkStart w:id="328" w:name="_Toc24330"/>
      <w:bookmarkStart w:id="329" w:name="_Toc144974571"/>
      <w:r>
        <w:rPr>
          <w:rFonts w:ascii="Times New Roman" w:hAnsi="Times New Roman"/>
          <w:color w:val="000000"/>
        </w:rPr>
        <w:t>分值对</w:t>
      </w:r>
      <w:bookmarkEnd w:id="319"/>
      <w:bookmarkEnd w:id="320"/>
      <w:bookmarkEnd w:id="321"/>
      <w:bookmarkEnd w:id="322"/>
      <w:bookmarkEnd w:id="323"/>
      <w:bookmarkEnd w:id="324"/>
      <w:bookmarkEnd w:id="325"/>
      <w:bookmarkEnd w:id="326"/>
      <w:bookmarkEnd w:id="327"/>
      <w:bookmarkEnd w:id="328"/>
      <w:bookmarkEnd w:id="329"/>
      <w:r>
        <w:rPr>
          <w:rFonts w:hint="eastAsia" w:ascii="Times New Roman" w:hAnsi="Times New Roman"/>
          <w:color w:val="000000"/>
          <w:lang w:val="en-US" w:eastAsia="zh-CN"/>
        </w:rPr>
        <w:t>经济标</w:t>
      </w:r>
      <w:r>
        <w:rPr>
          <w:rFonts w:ascii="Times New Roman" w:hAnsi="Times New Roman"/>
          <w:color w:val="000000"/>
        </w:rPr>
        <w:t>计</w:t>
      </w:r>
      <w:bookmarkStart w:id="330" w:name="_Toc384308279"/>
      <w:bookmarkStart w:id="331" w:name="_Toc352691540"/>
      <w:bookmarkStart w:id="332" w:name="_Toc369531584"/>
      <w:bookmarkStart w:id="333" w:name="_Toc361508653"/>
      <w:bookmarkStart w:id="334" w:name="_Toc152045605"/>
      <w:bookmarkStart w:id="335" w:name="_Toc247527630"/>
      <w:bookmarkStart w:id="336" w:name="_Toc247514029"/>
      <w:bookmarkStart w:id="337" w:name="_Toc152042382"/>
      <w:bookmarkStart w:id="338" w:name="_Toc300835015"/>
      <w:bookmarkStart w:id="339" w:name="_Toc18141"/>
      <w:bookmarkStart w:id="340" w:name="_Toc144974572"/>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330"/>
      <w:bookmarkEnd w:id="331"/>
      <w:bookmarkEnd w:id="332"/>
      <w:bookmarkEnd w:id="333"/>
      <w:bookmarkEnd w:id="334"/>
      <w:bookmarkEnd w:id="335"/>
      <w:bookmarkEnd w:id="336"/>
      <w:bookmarkEnd w:id="337"/>
      <w:bookmarkEnd w:id="338"/>
      <w:bookmarkEnd w:id="339"/>
      <w:bookmarkEnd w:id="340"/>
      <w:r>
        <w:rPr>
          <w:rFonts w:ascii="Times New Roman" w:hAnsi="Times New Roman"/>
          <w:color w:val="000000"/>
        </w:rPr>
        <w:t>4）按本章第2.2.4（4）目规定的评审因素和分值对其他</w:t>
      </w:r>
      <w:r>
        <w:rPr>
          <w:rFonts w:hint="eastAsia" w:ascii="Times New Roman" w:hAnsi="Times New Roman"/>
          <w:color w:val="000000"/>
          <w:lang w:val="en-US" w:eastAsia="zh-CN"/>
        </w:rPr>
        <w:t>标</w:t>
      </w:r>
      <w:r>
        <w:rPr>
          <w:rFonts w:ascii="Times New Roman" w:hAnsi="Times New Roman"/>
          <w:color w:val="000000"/>
        </w:rPr>
        <w:t>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420" w:firstLineChars="200"/>
        <w:rPr>
          <w:rFonts w:ascii="Times New Roman" w:hAnsi="Times New Roman"/>
          <w:color w:val="000000"/>
          <w:highlight w:val="none"/>
        </w:rPr>
      </w:pPr>
      <w:r>
        <w:rPr>
          <w:rFonts w:hint="eastAsia" w:ascii="Times New Roman" w:hAnsi="Times New Roman"/>
          <w:color w:val="000000"/>
          <w:highlight w:val="none"/>
          <w:lang w:val="en-US" w:eastAsia="zh-CN"/>
        </w:rPr>
        <w:t>3.2.5 投标单位最终得分为去除1个评委最高分，去除1个评委最低分，然后取平均分。</w:t>
      </w:r>
    </w:p>
    <w:p>
      <w:pPr>
        <w:pStyle w:val="4"/>
        <w:spacing w:line="240" w:lineRule="auto"/>
        <w:ind w:firstLine="137"/>
        <w:rPr>
          <w:rFonts w:ascii="Times New Roman" w:hAnsi="Times New Roman"/>
          <w:color w:val="000000"/>
        </w:rPr>
      </w:pPr>
      <w:bookmarkStart w:id="341" w:name="_Toc26841"/>
      <w:r>
        <w:rPr>
          <w:rFonts w:ascii="Times New Roman" w:hAnsi="Times New Roman"/>
          <w:color w:val="000000"/>
        </w:rPr>
        <w:t>3.3 投标文件的澄清</w:t>
      </w:r>
      <w:bookmarkEnd w:id="341"/>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4"/>
        <w:spacing w:line="240" w:lineRule="auto"/>
        <w:ind w:firstLine="137"/>
        <w:rPr>
          <w:rFonts w:ascii="Times New Roman" w:hAnsi="Times New Roman"/>
          <w:color w:val="000000"/>
        </w:rPr>
      </w:pPr>
      <w:bookmarkStart w:id="342" w:name="_Toc24102"/>
      <w:r>
        <w:rPr>
          <w:rFonts w:ascii="Times New Roman" w:hAnsi="Times New Roman"/>
          <w:color w:val="000000"/>
        </w:rPr>
        <w:t>3.4 评标结果</w:t>
      </w:r>
      <w:bookmarkEnd w:id="342"/>
    </w:p>
    <w:p>
      <w:pPr>
        <w:spacing w:line="400" w:lineRule="exact"/>
        <w:ind w:firstLine="420" w:firstLineChars="200"/>
        <w:rPr>
          <w:rFonts w:ascii="Times New Roman" w:hAnsi="Times New Roman"/>
          <w:color w:val="000000"/>
        </w:rPr>
      </w:pPr>
      <w:r>
        <w:rPr>
          <w:rFonts w:ascii="Times New Roman" w:hAnsi="Times New Roman"/>
          <w:color w:val="000000"/>
        </w:rPr>
        <w:t>3.4.1 评标委员会按照得分由高到低的顺序推荐中标候选人。</w:t>
      </w:r>
    </w:p>
    <w:p>
      <w:pPr>
        <w:spacing w:line="400" w:lineRule="exact"/>
        <w:ind w:firstLine="420" w:firstLineChars="200"/>
        <w:rPr>
          <w:rFonts w:ascii="Times New Roman" w:hAnsi="Times New Roman"/>
          <w:color w:val="FF0000"/>
          <w:highlight w:val="yellow"/>
        </w:rPr>
      </w:pPr>
      <w:r>
        <w:rPr>
          <w:rFonts w:ascii="Times New Roman" w:hAnsi="Times New Roman"/>
          <w:color w:val="000000"/>
        </w:rPr>
        <w:t>3.4.2 评标委员会完成评标后，应当向招标人提交书面评标报告和</w:t>
      </w:r>
      <w:r>
        <w:rPr>
          <w:rFonts w:hint="eastAsia"/>
          <w:highlight w:val="yellow"/>
          <w:lang w:val="en-US" w:eastAsia="zh-CN"/>
        </w:rPr>
        <w:t>按照不见面开标时唱标页面排序的中标候选人名单。</w:t>
      </w:r>
      <w:r>
        <w:commentReference w:id="8"/>
      </w:r>
    </w:p>
    <w:p>
      <w:pPr>
        <w:rPr>
          <w:color w:val="000000"/>
        </w:rPr>
      </w:pPr>
      <w:r>
        <w:rPr>
          <w:color w:val="000000"/>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000000"/>
          <w:lang w:val="en-US" w:eastAsia="zh-CN"/>
        </w:rPr>
      </w:pPr>
      <w:bookmarkStart w:id="343" w:name="_Toc27966"/>
      <w:r>
        <w:rPr>
          <w:rFonts w:hint="eastAsia"/>
          <w:color w:val="000000"/>
        </w:rPr>
        <w:t xml:space="preserve">第四章  </w:t>
      </w:r>
      <w:r>
        <w:rPr>
          <w:rFonts w:hint="eastAsia"/>
          <w:color w:val="000000"/>
          <w:lang w:val="en-US" w:eastAsia="zh-CN"/>
        </w:rPr>
        <w:t>定标办法</w:t>
      </w:r>
      <w:bookmarkEnd w:id="343"/>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宋体" w:eastAsia="黑体"/>
          <w:sz w:val="24"/>
          <w:szCs w:val="24"/>
        </w:rPr>
      </w:pPr>
      <w:bookmarkStart w:id="344" w:name="_Toc4652"/>
      <w:r>
        <w:rPr>
          <w:rFonts w:hint="eastAsia" w:ascii="黑体" w:hAnsi="宋体" w:eastAsia="黑体"/>
          <w:sz w:val="24"/>
          <w:szCs w:val="24"/>
          <w:lang w:val="en-US" w:eastAsia="zh-CN"/>
        </w:rPr>
        <w:t>定</w:t>
      </w:r>
      <w:r>
        <w:rPr>
          <w:rFonts w:hint="eastAsia" w:ascii="黑体" w:hAnsi="宋体" w:eastAsia="黑体"/>
          <w:sz w:val="24"/>
          <w:szCs w:val="24"/>
        </w:rPr>
        <w:t>标办法前附表</w:t>
      </w:r>
      <w:bookmarkEnd w:id="344"/>
    </w:p>
    <w:tbl>
      <w:tblPr>
        <w:tblStyle w:val="3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536"/>
        <w:gridCol w:w="223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eastAsia" w:ascii="宋体" w:hAnsi="宋体"/>
                <w:szCs w:val="21"/>
              </w:rPr>
            </w:pPr>
            <w:r>
              <w:rPr>
                <w:rFonts w:hint="eastAsia" w:ascii="宋体" w:hAnsi="宋体"/>
                <w:szCs w:val="21"/>
              </w:rPr>
              <w:t>条款号</w:t>
            </w:r>
          </w:p>
        </w:tc>
        <w:tc>
          <w:tcPr>
            <w:tcW w:w="223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定标</w:t>
            </w:r>
            <w:r>
              <w:rPr>
                <w:rFonts w:hint="eastAsia" w:ascii="宋体" w:hAnsi="宋体"/>
                <w:szCs w:val="21"/>
              </w:rPr>
              <w:t>因素</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定标</w:t>
            </w:r>
            <w:r>
              <w:rPr>
                <w:rFonts w:hint="eastAsia" w:ascii="宋体" w:hAnsi="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1</w:t>
            </w: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szCs w:val="21"/>
                <w:lang w:val="en-US" w:eastAsia="zh-CN"/>
              </w:rPr>
              <w:t>定标办法</w:t>
            </w:r>
          </w:p>
        </w:tc>
        <w:tc>
          <w:tcPr>
            <w:tcW w:w="4264" w:type="dxa"/>
            <w:noWrap w:val="0"/>
            <w:vAlign w:val="center"/>
          </w:tcPr>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本项目采用定标办法为：</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票决定标法</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投票计分</w:t>
            </w:r>
            <w:r>
              <w:rPr>
                <w:rFonts w:hint="eastAsia" w:ascii="宋体" w:hAnsi="宋体" w:eastAsia="宋体" w:cs="Times New Roman"/>
                <w:szCs w:val="21"/>
                <w:lang w:val="en-US" w:eastAsia="zh-CN"/>
              </w:rPr>
              <w:t>法</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集体议事</w:t>
            </w:r>
            <w:r>
              <w:rPr>
                <w:rFonts w:hint="eastAsia" w:ascii="宋体" w:hAnsi="宋体" w:eastAsia="宋体" w:cs="Times New Roman"/>
                <w:szCs w:val="21"/>
                <w:lang w:val="en-US" w:eastAsia="zh-CN"/>
              </w:rPr>
              <w:t>法</w:t>
            </w:r>
          </w:p>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招标人确定的</w:t>
            </w:r>
            <w:r>
              <w:rPr>
                <w:rFonts w:hint="eastAsia" w:ascii="宋体" w:hAnsi="宋体" w:eastAsia="宋体" w:cs="Times New Roman"/>
                <w:szCs w:val="21"/>
                <w:lang w:val="en-US" w:eastAsia="zh-CN"/>
              </w:rPr>
              <w:t>其他定标办法</w:t>
            </w:r>
            <w:r>
              <w:rPr>
                <w:rFonts w:hint="eastAsia" w:ascii="宋体" w:hAnsi="宋体" w:cs="Times New Roman"/>
                <w:szCs w:val="21"/>
                <w:lang w:val="en-US" w:eastAsia="zh-CN"/>
              </w:rPr>
              <w:t>：</w:t>
            </w:r>
            <w:r>
              <w:rPr>
                <w:rFonts w:hint="eastAsia" w:ascii="宋体" w:hAnsi="宋体" w:eastAsia="宋体" w:cs="Times New Roman"/>
                <w:szCs w:val="21"/>
                <w:u w:val="single"/>
                <w:lang w:val="en-US" w:eastAsia="zh-CN"/>
              </w:rPr>
              <w:t xml:space="preserve">          </w:t>
            </w:r>
            <w:r>
              <w:rPr>
                <w:rFonts w:hint="eastAsia" w:ascii="宋体" w:hAnsi="宋体" w:cs="Times New Roman"/>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2</w:t>
            </w:r>
          </w:p>
        </w:tc>
        <w:tc>
          <w:tcPr>
            <w:tcW w:w="2234" w:type="dxa"/>
            <w:noWrap w:val="0"/>
            <w:vAlign w:val="center"/>
          </w:tcPr>
          <w:p>
            <w:pPr>
              <w:spacing w:line="240" w:lineRule="auto"/>
              <w:jc w:val="left"/>
              <w:rPr>
                <w:rFonts w:hint="eastAsia" w:ascii="宋体" w:hAnsi="宋体"/>
                <w:szCs w:val="21"/>
                <w:lang w:val="en-US" w:eastAsia="zh-CN"/>
              </w:rPr>
            </w:pPr>
            <w:r>
              <w:rPr>
                <w:rFonts w:hint="eastAsia" w:ascii="宋体" w:hAnsi="宋体" w:eastAsia="宋体" w:cs="宋体"/>
                <w:sz w:val="21"/>
                <w:szCs w:val="21"/>
                <w:lang w:val="en-US" w:eastAsia="zh-CN"/>
              </w:rPr>
              <w:t>本次是否进行考察、质询</w:t>
            </w:r>
          </w:p>
        </w:tc>
        <w:tc>
          <w:tcPr>
            <w:tcW w:w="4264" w:type="dxa"/>
            <w:noWrap w:val="0"/>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eastAsia="宋体" w:cs="Times New Roman"/>
                <w:szCs w:val="21"/>
                <w:lang w:val="en-US" w:eastAsia="zh-CN"/>
              </w:rPr>
              <w:t>是</w:t>
            </w:r>
          </w:p>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c>
          <w:tcPr>
            <w:tcW w:w="2234" w:type="dxa"/>
            <w:noWrap w:val="0"/>
            <w:vAlign w:val="center"/>
          </w:tcPr>
          <w:p>
            <w:pPr>
              <w:spacing w:line="240" w:lineRule="auto"/>
              <w:rPr>
                <w:rFonts w:hint="default" w:ascii="宋体" w:hAnsi="宋体"/>
                <w:szCs w:val="21"/>
                <w:lang w:val="en-US" w:eastAsia="zh-CN"/>
              </w:rPr>
            </w:pPr>
            <w:r>
              <w:rPr>
                <w:rFonts w:hint="eastAsia" w:ascii="宋体" w:hAnsi="宋体" w:eastAsia="宋体" w:cs="宋体"/>
                <w:sz w:val="21"/>
                <w:szCs w:val="21"/>
                <w:lang w:val="en-US" w:eastAsia="zh-CN"/>
              </w:rPr>
              <w:t>本次是否向相关行政管理部门进行</w:t>
            </w:r>
            <w:r>
              <w:rPr>
                <w:rFonts w:hint="eastAsia" w:ascii="宋体" w:hAnsi="宋体"/>
                <w:szCs w:val="21"/>
                <w:lang w:val="en-US" w:eastAsia="zh-CN"/>
              </w:rPr>
              <w:t>函询</w:t>
            </w:r>
          </w:p>
        </w:tc>
        <w:tc>
          <w:tcPr>
            <w:tcW w:w="4264" w:type="dxa"/>
            <w:noWrap w:val="0"/>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eastAsia="宋体" w:cs="Times New Roman"/>
                <w:szCs w:val="21"/>
                <w:lang w:val="en-US" w:eastAsia="zh-CN"/>
              </w:rPr>
              <w:t>是</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restart"/>
            <w:noWrap w:val="0"/>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4</w:t>
            </w:r>
          </w:p>
        </w:tc>
        <w:tc>
          <w:tcPr>
            <w:tcW w:w="1536" w:type="dxa"/>
            <w:vMerge w:val="restart"/>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定标择优因素</w:t>
            </w: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szCs w:val="21"/>
                <w:lang w:val="en-US" w:eastAsia="zh-CN"/>
              </w:rPr>
              <w:t>综合报价</w:t>
            </w:r>
          </w:p>
        </w:tc>
        <w:tc>
          <w:tcPr>
            <w:tcW w:w="4264"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工程量清单中核心参数报价</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szCs w:val="21"/>
                <w:lang w:val="en-US" w:eastAsia="zh-CN"/>
              </w:rPr>
              <w:t>企业综合实力</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信用评价</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履约情况</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企业过往业绩</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服务能力</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技术方案</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其他因素</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bl>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ascii="黑体" w:hAnsi="黑体" w:eastAsia="黑体" w:cs="黑体"/>
          <w:color w:val="auto"/>
          <w:sz w:val="24"/>
          <w:szCs w:val="24"/>
        </w:rPr>
      </w:pPr>
      <w:r>
        <w:rPr>
          <w:rFonts w:hint="eastAsia" w:ascii="黑体" w:hAnsi="宋体" w:eastAsia="黑体" w:cs="Times New Roman"/>
          <w:sz w:val="24"/>
          <w:szCs w:val="24"/>
          <w:lang w:val="en-US" w:eastAsia="zh-CN"/>
        </w:rPr>
        <w:br w:type="page"/>
      </w:r>
      <w:r>
        <w:rPr>
          <w:rFonts w:hint="eastAsia" w:ascii="黑体" w:hAnsi="宋体" w:eastAsia="黑体" w:cs="Times New Roman"/>
          <w:color w:val="auto"/>
          <w:sz w:val="24"/>
          <w:szCs w:val="24"/>
          <w:lang w:val="en-US" w:eastAsia="zh-CN"/>
        </w:rPr>
        <w:t>定</w:t>
      </w:r>
      <w:r>
        <w:rPr>
          <w:rFonts w:hint="eastAsia" w:ascii="黑体" w:hAnsi="黑体" w:eastAsia="黑体" w:cs="黑体"/>
          <w:color w:val="auto"/>
          <w:sz w:val="24"/>
          <w:szCs w:val="24"/>
        </w:rPr>
        <w:t>标办法正文部分</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color w:val="auto"/>
          <w:kern w:val="2"/>
          <w:sz w:val="24"/>
          <w:szCs w:val="24"/>
          <w:lang w:val="en-US" w:eastAsia="zh-CN" w:bidi="ar-SA"/>
        </w:rPr>
      </w:pPr>
      <w:bookmarkStart w:id="345" w:name="_Toc3889"/>
      <w:r>
        <w:rPr>
          <w:rFonts w:hint="eastAsia" w:ascii="黑体" w:hAnsi="黑体" w:eastAsia="黑体" w:cs="黑体"/>
          <w:b w:val="0"/>
          <w:bCs w:val="0"/>
          <w:color w:val="auto"/>
          <w:kern w:val="2"/>
          <w:sz w:val="24"/>
          <w:szCs w:val="24"/>
          <w:lang w:val="en-US" w:eastAsia="zh-CN" w:bidi="ar-SA"/>
        </w:rPr>
        <w:t>1.定标方法</w:t>
      </w:r>
      <w:r>
        <w:rPr>
          <w:rFonts w:hint="eastAsia" w:ascii="黑体" w:hAnsi="黑体" w:eastAsia="黑体" w:cs="黑体"/>
          <w:color w:val="auto"/>
          <w:sz w:val="24"/>
          <w:szCs w:val="24"/>
        </w:rPr>
        <w:t>(票决定标法)</w:t>
      </w:r>
      <w:bookmarkEnd w:id="34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定标委员会成员根据定标因素对各中标候选人进行比较，通过票决确定中标人，各成员须书面说明投票理由。</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招标人组建的定标委员会在进入投票范围的中标候选人中，以每人投票支持一个中标候选人的方式，得票最多且过半数的中标候选人为中标人。如遇中标候选人得分相同不能一次产生符合条件的中标人，则进行多轮票决，当投标人出现同票影响定标结果时，得票相同者按以下方式选择下一轮投票对象（由招标人在招标文件中事先载明）：（1）评审得分高者；（2）报价低者（报价相同时选择评审得分高者）；（3）由招标人法定代表人或其委托代表直接确定。直至确定一名中标候选人为中标人。</w:t>
      </w:r>
    </w:p>
    <w:p>
      <w:pPr>
        <w:pageBreakBefore w:val="0"/>
        <w:widowControl w:val="0"/>
        <w:numPr>
          <w:ilvl w:val="0"/>
          <w:numId w:val="1"/>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24"/>
          <w:szCs w:val="24"/>
        </w:rPr>
      </w:pPr>
      <w:bookmarkStart w:id="346" w:name="_Toc28007"/>
      <w:r>
        <w:rPr>
          <w:rFonts w:hint="eastAsia" w:ascii="黑体" w:hAnsi="黑体" w:eastAsia="黑体" w:cs="黑体"/>
          <w:b w:val="0"/>
          <w:bCs w:val="0"/>
          <w:color w:val="auto"/>
          <w:kern w:val="2"/>
          <w:sz w:val="24"/>
          <w:szCs w:val="24"/>
          <w:lang w:val="en-US" w:eastAsia="zh-CN" w:bidi="ar-SA"/>
        </w:rPr>
        <w:t>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投票计分</w:t>
      </w:r>
      <w:r>
        <w:rPr>
          <w:rFonts w:hint="eastAsia" w:ascii="黑体" w:hAnsi="黑体" w:eastAsia="黑体" w:cs="黑体"/>
          <w:color w:val="auto"/>
          <w:sz w:val="24"/>
          <w:szCs w:val="24"/>
        </w:rPr>
        <w:t>法)</w:t>
      </w:r>
      <w:bookmarkEnd w:id="346"/>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各定标委员会成员对所有进入定标程序的中标候选人择优排序进行打分，最优的N分，其次N-1分，依此类推（N用于定标时一般不超过5，排名第N以后的得0分），总分排名第一的确定为中标人。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招标人应在招标文件中事先载明，得分相同且影响确定中标人的，可由定标委员会对得总分相同的单位进行再次票决确定排名。也可按照如下方式选择：（1）评审得分高者；（2）报价低者（报价相同时选择评审得分高者）；（3）由招标人法定代表人或其委托代表直接确定1个中标候选人作为中标人。</w:t>
      </w:r>
    </w:p>
    <w:p>
      <w:pPr>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24"/>
          <w:szCs w:val="24"/>
        </w:rPr>
      </w:pPr>
      <w:bookmarkStart w:id="347" w:name="_Toc18661"/>
      <w:r>
        <w:rPr>
          <w:rFonts w:hint="eastAsia" w:ascii="黑体" w:hAnsi="黑体" w:eastAsia="黑体" w:cs="黑体"/>
          <w:b w:val="0"/>
          <w:bCs w:val="0"/>
          <w:color w:val="auto"/>
          <w:kern w:val="2"/>
          <w:sz w:val="24"/>
          <w:szCs w:val="24"/>
          <w:lang w:val="en-US" w:eastAsia="zh-CN" w:bidi="ar-SA"/>
        </w:rPr>
        <w:t>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集体议事</w:t>
      </w:r>
      <w:r>
        <w:rPr>
          <w:rFonts w:hint="eastAsia" w:ascii="黑体" w:hAnsi="黑体" w:eastAsia="黑体" w:cs="黑体"/>
          <w:color w:val="auto"/>
          <w:sz w:val="24"/>
          <w:szCs w:val="24"/>
        </w:rPr>
        <w:t>法)</w:t>
      </w:r>
      <w:bookmarkEnd w:id="347"/>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由招标人法定代表人或者主要负责人担任定标委员会组长，组建定标委员会进行集体商议，定标委员会成员各自发表意见，最终由定标委员会组长确定中标人。集体议事法应当在招标文件中明确议事规则。</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color w:val="auto"/>
          <w:kern w:val="2"/>
          <w:sz w:val="24"/>
          <w:szCs w:val="24"/>
          <w:lang w:val="en-US" w:eastAsia="zh-CN" w:bidi="ar-SA"/>
        </w:rPr>
      </w:pPr>
      <w:bookmarkStart w:id="348" w:name="_Toc12854"/>
      <w:r>
        <w:rPr>
          <w:rFonts w:hint="eastAsia" w:ascii="黑体" w:hAnsi="黑体" w:eastAsia="黑体" w:cs="黑体"/>
          <w:b w:val="0"/>
          <w:bCs w:val="0"/>
          <w:color w:val="auto"/>
          <w:kern w:val="2"/>
          <w:sz w:val="24"/>
          <w:szCs w:val="24"/>
          <w:lang w:val="en-US" w:eastAsia="zh-CN" w:bidi="ar-SA"/>
        </w:rPr>
        <w:t>1.定标方法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招标人确定的其他方</w:t>
      </w:r>
      <w:r>
        <w:rPr>
          <w:rFonts w:hint="eastAsia" w:ascii="黑体" w:hAnsi="黑体" w:eastAsia="黑体" w:cs="黑体"/>
          <w:color w:val="auto"/>
          <w:sz w:val="24"/>
          <w:szCs w:val="24"/>
        </w:rPr>
        <w:t>法)</w:t>
      </w:r>
      <w:bookmarkEnd w:id="34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招标人在招标文件中载明，招标人自行制定的其他科学合理定标方法，应明确定标择优因素和评价标准或优劣相对标准。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u w:val="single"/>
          <w:lang w:val="en-US" w:eastAsia="zh-CN"/>
        </w:rPr>
        <w:t xml:space="preserve">                                                            </w:t>
      </w:r>
      <w:r>
        <w:rPr>
          <w:rFonts w:hint="eastAsia"/>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黑体" w:hAnsi="黑体" w:eastAsia="黑体" w:cs="黑体"/>
          <w:b w:val="0"/>
          <w:bCs w:val="0"/>
          <w:kern w:val="2"/>
          <w:sz w:val="24"/>
          <w:szCs w:val="24"/>
          <w:lang w:val="en-US" w:eastAsia="zh-CN" w:bidi="ar-SA"/>
        </w:rPr>
      </w:pPr>
      <w:bookmarkStart w:id="349" w:name="_Toc10323"/>
      <w:r>
        <w:rPr>
          <w:rFonts w:hint="eastAsia" w:ascii="黑体" w:hAnsi="黑体" w:eastAsia="黑体" w:cs="黑体"/>
          <w:b w:val="0"/>
          <w:bCs w:val="0"/>
          <w:kern w:val="2"/>
          <w:sz w:val="24"/>
          <w:szCs w:val="24"/>
          <w:lang w:val="en-US" w:eastAsia="zh-CN" w:bidi="ar-SA"/>
        </w:rPr>
        <w:t>2.定标标准</w:t>
      </w:r>
      <w:bookmarkEnd w:id="349"/>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见定标办法前附表</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kern w:val="2"/>
          <w:sz w:val="24"/>
          <w:szCs w:val="24"/>
          <w:lang w:val="en-US" w:eastAsia="zh-CN" w:bidi="ar-SA"/>
        </w:rPr>
      </w:pPr>
      <w:bookmarkStart w:id="350" w:name="_Toc32636"/>
      <w:r>
        <w:rPr>
          <w:rFonts w:hint="eastAsia" w:ascii="黑体" w:hAnsi="黑体" w:eastAsia="黑体" w:cs="黑体"/>
          <w:b w:val="0"/>
          <w:bCs w:val="0"/>
          <w:kern w:val="2"/>
          <w:sz w:val="24"/>
          <w:szCs w:val="24"/>
          <w:lang w:val="en-US" w:eastAsia="zh-CN" w:bidi="ar-SA"/>
        </w:rPr>
        <w:t>3.定标程序</w:t>
      </w:r>
      <w:bookmarkEnd w:id="350"/>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招标人应当在项目评审结束后</w:t>
      </w:r>
      <w:commentRangeStart w:id="9"/>
      <w:r>
        <w:rPr>
          <w:rFonts w:hint="eastAsia" w:ascii="宋体" w:hAnsi="宋体" w:eastAsia="宋体" w:cs="宋体"/>
          <w:sz w:val="21"/>
          <w:szCs w:val="21"/>
          <w:lang w:val="en-US" w:eastAsia="zh-CN"/>
        </w:rPr>
        <w:t>5日（含5日）</w:t>
      </w:r>
      <w:commentRangeEnd w:id="9"/>
      <w:r>
        <w:commentReference w:id="9"/>
      </w:r>
      <w:r>
        <w:rPr>
          <w:rFonts w:hint="eastAsia" w:ascii="宋体" w:hAnsi="宋体" w:eastAsia="宋体" w:cs="宋体"/>
          <w:sz w:val="21"/>
          <w:szCs w:val="21"/>
          <w:lang w:val="en-US" w:eastAsia="zh-CN"/>
        </w:rPr>
        <w:t>内，在市公共资源交易平台具备音频、视频监控设备的场所召开定标会议。如有特殊情况，定标会议时间可以适当推迟，招标人应在市公共资源交易平台公告延期原因和最终定标时间。</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考察、质询情况见定标办法前附表。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向相关行政管理部门函询情况见定标办法前附表。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标会议应当全程录音录像，定标委员会严格按照招标文件规定从中标候选人中确定一名中标人。招标人应当做好定标环节相关准备，包括对定标规则的解析、定标资料的收集整理、定标档案的管理等。定标会议按以下程序进行：</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（一）市公共资源交易服务中心工作人员宣读《定标程序及须知》，定标成员签署承诺书；</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（二）招标人介绍项目基本情况、招标情况；</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（三）招标人介绍评审情况、专家评审意见及提醒注意事项等；</w:t>
      </w:r>
      <w:r>
        <w:rPr>
          <w:rFonts w:hint="eastAsia" w:ascii="宋体" w:hAnsi="宋体" w:eastAsia="宋体" w:cs="宋体"/>
          <w:sz w:val="21"/>
          <w:szCs w:val="21"/>
          <w:lang w:val="en-US" w:eastAsia="zh-CN"/>
        </w:rPr>
        <w:pict>
          <v:shape id="文本框 2" o:spid="_x0000_s1027" o:spt="202" type="#_x0000_t202" style="position:absolute;left:0pt;margin-left:87pt;margin-top:658pt;height:16pt;width:106pt;mso-position-horizontal-relative:page;z-index:251659264;mso-width-relative:page;mso-height-relative:page;" filled="f" stroked="f" coordsize="21600,21600" o:gfxdata="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O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Zj1NfYAAAADQEAAA8AAAAAAAAA&#10;AQAgAAAAIgAAAGRycy9kb3ducmV2LnhtbFBLAQIUABQAAAAIAIdO4kB3rxMi2AEAAJ8DAAAOAAAA&#10;AAAAAAEAIAAAACcBAABkcnMvZTJvRG9jLnhtbFBLBQYAAAAABgAGAFkBAABxBQAAAAA=&#10;">
            <v:path/>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20"/>
                    </w:rPr>
                    <w:t>8-</w:t>
                  </w:r>
                </w:p>
              </w:txbxContent>
            </v:textbox>
          </v:shape>
        </w:pic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（四）选择向相关部门函询或组织考察的，由招标人现场宣读函询报告或考察、质询报告；招标人结合函询结果和对中标候选人的考察、质询及相关资料，汇报各中标候选人的优势、不足、风险等；</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（五）定标委员会成员提问，相关人员解答；</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（六）定标委员会组织定标决策，确定中标人，非定标相关人员离场（不含监督小组等工作人员）；</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（七）形成定标报告。</w:t>
      </w: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pPr>
    </w:p>
    <w:p>
      <w:pPr>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lang w:val="en-US" w:eastAsia="zh-CN"/>
        </w:rPr>
      </w:pPr>
    </w:p>
    <w:p>
      <w:pPr>
        <w:rPr>
          <w:color w:val="000000"/>
        </w:rPr>
      </w:pPr>
      <w:r>
        <w:rPr>
          <w:color w:val="000000"/>
        </w:rPr>
        <w:br w:type="page"/>
      </w:r>
    </w:p>
    <w:p>
      <w:pPr>
        <w:pStyle w:val="2"/>
        <w:jc w:val="center"/>
        <w:rPr>
          <w:color w:val="000000"/>
        </w:rPr>
      </w:pPr>
      <w:bookmarkStart w:id="351" w:name="_Toc7796"/>
      <w:r>
        <w:rPr>
          <w:color w:val="000000"/>
        </w:rPr>
        <w:t>第</w:t>
      </w:r>
      <w:r>
        <w:rPr>
          <w:rFonts w:hint="eastAsia"/>
          <w:color w:val="000000"/>
          <w:lang w:val="en-US" w:eastAsia="zh-CN"/>
        </w:rPr>
        <w:t>五</w:t>
      </w:r>
      <w:r>
        <w:rPr>
          <w:color w:val="000000"/>
        </w:rPr>
        <w:t>章合同条款及格式</w:t>
      </w:r>
      <w:bookmarkEnd w:id="351"/>
    </w:p>
    <w:p>
      <w:pPr>
        <w:pStyle w:val="17"/>
        <w:snapToGrid w:val="0"/>
        <w:spacing w:line="400" w:lineRule="atLeast"/>
        <w:ind w:left="0" w:leftChars="0"/>
        <w:rPr>
          <w:rFonts w:eastAsiaTheme="minorEastAsia"/>
          <w:szCs w:val="21"/>
        </w:rPr>
      </w:pPr>
      <w:r>
        <w:rPr>
          <w:rFonts w:hAnsiTheme="minorEastAsia" w:eastAsiaTheme="minorEastAsia"/>
          <w:szCs w:val="21"/>
        </w:rPr>
        <w:t>说明：</w:t>
      </w:r>
    </w:p>
    <w:p>
      <w:pPr>
        <w:pStyle w:val="17"/>
        <w:snapToGrid w:val="0"/>
        <w:spacing w:line="400" w:lineRule="atLeast"/>
        <w:ind w:left="0" w:leftChars="0" w:firstLine="420" w:firstLineChars="200"/>
        <w:rPr>
          <w:rFonts w:eastAsiaTheme="minorEastAsia"/>
          <w:szCs w:val="21"/>
        </w:rPr>
      </w:pPr>
      <w:r>
        <w:rPr>
          <w:rFonts w:hAnsiTheme="minorEastAsia" w:eastAsiaTheme="minorEastAsia"/>
          <w:szCs w:val="21"/>
        </w:rPr>
        <w:t>房屋建筑和市政工程等工程监理项目招标可以使用《建设工程监理合同（示范文本）》（</w:t>
      </w:r>
      <w:r>
        <w:rPr>
          <w:rFonts w:eastAsiaTheme="minorEastAsia"/>
          <w:szCs w:val="21"/>
        </w:rPr>
        <w:t>GF-2012-0202</w:t>
      </w:r>
      <w:r>
        <w:rPr>
          <w:rFonts w:hAnsiTheme="minorEastAsia" w:eastAsiaTheme="minorEastAsia"/>
          <w:szCs w:val="21"/>
        </w:rPr>
        <w:t>）。</w:t>
      </w:r>
    </w:p>
    <w:p/>
    <w:p>
      <w:pPr>
        <w:keepNext/>
        <w:keepLines/>
        <w:pageBreakBefore w:val="0"/>
        <w:widowControl w:val="0"/>
        <w:kinsoku/>
        <w:wordWrap/>
        <w:overflowPunct/>
        <w:topLinePunct w:val="0"/>
        <w:autoSpaceDE/>
        <w:autoSpaceDN/>
        <w:bidi w:val="0"/>
        <w:adjustRightInd/>
        <w:snapToGrid/>
        <w:jc w:val="center"/>
        <w:textAlignment w:val="auto"/>
        <w:outlineLvl w:val="9"/>
        <w:rPr>
          <w:color w:val="000000"/>
        </w:rPr>
      </w:pPr>
      <w:r>
        <w:rPr>
          <w:color w:val="000000"/>
        </w:rPr>
        <w:br w:type="page"/>
      </w:r>
    </w:p>
    <w:p>
      <w:pPr>
        <w:pStyle w:val="3"/>
        <w:jc w:val="center"/>
        <w:rPr>
          <w:rFonts w:ascii="Times New Roman" w:hAnsi="Times New Roman"/>
          <w:color w:val="000000"/>
        </w:rPr>
      </w:pPr>
      <w:bookmarkStart w:id="352" w:name="_Toc8551"/>
      <w:r>
        <w:rPr>
          <w:rFonts w:ascii="Times New Roman" w:hAnsi="Times New Roman"/>
          <w:color w:val="000000"/>
        </w:rPr>
        <w:t>第一节通用合同条款</w:t>
      </w:r>
      <w:bookmarkEnd w:id="352"/>
    </w:p>
    <w:p>
      <w:pPr>
        <w:pStyle w:val="3"/>
        <w:ind w:firstLine="105"/>
        <w:rPr>
          <w:rFonts w:ascii="Times New Roman" w:hAnsi="Times New Roman"/>
        </w:rPr>
      </w:pPr>
      <w:bookmarkStart w:id="353" w:name="_Toc482188546"/>
      <w:bookmarkStart w:id="354" w:name="_Toc20844"/>
      <w:r>
        <w:rPr>
          <w:rFonts w:ascii="Times New Roman" w:hAnsi="Times New Roman"/>
        </w:rPr>
        <w:t>1. 一般约定</w:t>
      </w:r>
      <w:bookmarkEnd w:id="353"/>
      <w:bookmarkEnd w:id="354"/>
    </w:p>
    <w:p>
      <w:pPr>
        <w:pStyle w:val="4"/>
        <w:spacing w:line="240" w:lineRule="auto"/>
        <w:ind w:firstLine="137"/>
        <w:rPr>
          <w:rFonts w:ascii="Times New Roman" w:hAnsi="Times New Roman"/>
          <w:color w:val="000000"/>
        </w:rPr>
      </w:pPr>
      <w:bookmarkStart w:id="355" w:name="_Toc482188547"/>
      <w:bookmarkStart w:id="356" w:name="_Toc19827"/>
      <w:r>
        <w:rPr>
          <w:rFonts w:ascii="Times New Roman" w:hAnsi="Times New Roman"/>
          <w:color w:val="000000"/>
        </w:rPr>
        <w:t xml:space="preserve">1.1 </w:t>
      </w:r>
      <w:r>
        <w:rPr>
          <w:rFonts w:hint="eastAsia" w:ascii="Times New Roman" w:hAnsi="Times New Roman"/>
          <w:color w:val="000000"/>
        </w:rPr>
        <w:t>词语定义</w:t>
      </w:r>
      <w:bookmarkEnd w:id="355"/>
      <w:bookmarkEnd w:id="356"/>
    </w:p>
    <w:p>
      <w:pPr>
        <w:spacing w:line="360" w:lineRule="auto"/>
        <w:ind w:firstLine="420" w:firstLineChars="200"/>
        <w:rPr>
          <w:rFonts w:ascii="Times New Roman" w:hAnsi="Times New Roman"/>
          <w:szCs w:val="21"/>
        </w:rPr>
      </w:pPr>
      <w:r>
        <w:rPr>
          <w:rFonts w:ascii="Times New Roman" w:hAnsi="Times New Roman"/>
          <w:szCs w:val="21"/>
        </w:rPr>
        <w:t>通用合同条款、专用合同条款中的下列词语应具有本款所赋予的含义。</w:t>
      </w:r>
    </w:p>
    <w:p>
      <w:pPr>
        <w:spacing w:line="360" w:lineRule="auto"/>
        <w:ind w:firstLine="413" w:firstLineChars="196"/>
        <w:rPr>
          <w:rFonts w:ascii="Times New Roman" w:hAnsi="Times New Roman"/>
          <w:b/>
        </w:rPr>
      </w:pPr>
      <w:r>
        <w:rPr>
          <w:rFonts w:ascii="Times New Roman" w:hAnsi="Times New Roman"/>
          <w:b/>
        </w:rPr>
        <w:t>1.1.1 合同</w:t>
      </w:r>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 xml:space="preserve"> 合同文件（或称合同）：指合同协议书、中标通知书、投标函和投标函附录、专用合同条款、通用合同条款、委托人要求、监理报酬清单</w:t>
      </w:r>
      <w:r>
        <w:rPr>
          <w:rFonts w:hint="eastAsia" w:ascii="Times New Roman" w:hAnsi="Times New Roman"/>
          <w:szCs w:val="21"/>
        </w:rPr>
        <w:t>、</w:t>
      </w:r>
      <w:r>
        <w:rPr>
          <w:rFonts w:ascii="Times New Roman" w:hAnsi="Times New Roman"/>
          <w:szCs w:val="21"/>
        </w:rPr>
        <w:t>监理大纲，以及其他构成合同组成部分的文件。</w:t>
      </w:r>
    </w:p>
    <w:p>
      <w:pPr>
        <w:spacing w:line="360" w:lineRule="auto"/>
        <w:ind w:firstLine="420" w:firstLineChars="200"/>
        <w:rPr>
          <w:rFonts w:ascii="Times New Roman" w:hAnsi="Times New Roman"/>
          <w:szCs w:val="21"/>
        </w:rPr>
      </w:pPr>
      <w:r>
        <w:rPr>
          <w:rFonts w:ascii="Times New Roman" w:hAnsi="Times New Roman"/>
        </w:rPr>
        <w:t>1.1.1.2</w:t>
      </w:r>
      <w:r>
        <w:rPr>
          <w:rFonts w:ascii="Times New Roman" w:hAnsi="Times New Roman"/>
          <w:szCs w:val="21"/>
        </w:rPr>
        <w:t xml:space="preserve"> 合同协议书：指委托人和监理人共同签署的合同协议书。</w:t>
      </w:r>
    </w:p>
    <w:p>
      <w:pPr>
        <w:spacing w:line="360" w:lineRule="auto"/>
        <w:ind w:firstLine="420" w:firstLineChars="200"/>
        <w:rPr>
          <w:rFonts w:ascii="Times New Roman" w:hAnsi="Times New Roman"/>
          <w:szCs w:val="21"/>
        </w:rPr>
      </w:pPr>
      <w:r>
        <w:rPr>
          <w:rFonts w:ascii="Times New Roman" w:hAnsi="Times New Roman"/>
        </w:rPr>
        <w:t>1.1.1.3</w:t>
      </w:r>
      <w:r>
        <w:rPr>
          <w:rFonts w:ascii="Times New Roman" w:hAnsi="Times New Roman"/>
          <w:szCs w:val="21"/>
        </w:rPr>
        <w:t xml:space="preserve"> 中标通知书：</w:t>
      </w:r>
      <w:r>
        <w:rPr>
          <w:rFonts w:ascii="Times New Roman" w:hAnsi="Times New Roman"/>
        </w:rPr>
        <w:t>指</w:t>
      </w:r>
      <w:r>
        <w:rPr>
          <w:rFonts w:ascii="Times New Roman" w:hAnsi="Times New Roman"/>
          <w:szCs w:val="21"/>
        </w:rPr>
        <w:t>委托人通知监理人中标的函件。</w:t>
      </w:r>
    </w:p>
    <w:p>
      <w:pPr>
        <w:spacing w:line="360" w:lineRule="auto"/>
        <w:ind w:firstLine="420" w:firstLineChars="200"/>
        <w:rPr>
          <w:rFonts w:ascii="Times New Roman" w:hAnsi="Times New Roman"/>
          <w:szCs w:val="21"/>
        </w:rPr>
      </w:pPr>
      <w:r>
        <w:rPr>
          <w:rFonts w:ascii="Times New Roman" w:hAnsi="Times New Roman"/>
        </w:rPr>
        <w:t>1.1.1.4</w:t>
      </w:r>
      <w:r>
        <w:rPr>
          <w:rFonts w:ascii="Times New Roman" w:hAnsi="Times New Roman"/>
          <w:szCs w:val="21"/>
        </w:rPr>
        <w:t xml:space="preserve"> 投标函：指由监理人填写并签署的，名为“投标函”的函件。</w:t>
      </w:r>
    </w:p>
    <w:p>
      <w:pPr>
        <w:spacing w:line="360" w:lineRule="auto"/>
        <w:ind w:firstLine="420" w:firstLineChars="200"/>
        <w:rPr>
          <w:rFonts w:ascii="Times New Roman" w:hAnsi="Times New Roman"/>
          <w:szCs w:val="21"/>
        </w:rPr>
      </w:pPr>
      <w:r>
        <w:rPr>
          <w:rFonts w:ascii="Times New Roman" w:hAnsi="Times New Roman"/>
        </w:rPr>
        <w:t>1.1.1.5</w:t>
      </w:r>
      <w:r>
        <w:rPr>
          <w:rFonts w:ascii="Times New Roman" w:hAnsi="Times New Roman"/>
          <w:szCs w:val="21"/>
        </w:rPr>
        <w:t xml:space="preserve"> 投标函附录：指</w:t>
      </w:r>
      <w:r>
        <w:rPr>
          <w:rFonts w:hint="eastAsia" w:ascii="Times New Roman" w:hAnsi="Times New Roman"/>
          <w:szCs w:val="21"/>
        </w:rPr>
        <w:t>由</w:t>
      </w:r>
      <w:r>
        <w:rPr>
          <w:rFonts w:ascii="Times New Roman" w:hAnsi="Times New Roman"/>
          <w:szCs w:val="21"/>
        </w:rPr>
        <w:t>监理人填写并签署的</w:t>
      </w:r>
      <w:r>
        <w:rPr>
          <w:rFonts w:hint="eastAsia" w:ascii="Times New Roman" w:hAnsi="Times New Roman"/>
          <w:szCs w:val="21"/>
        </w:rPr>
        <w:t>、</w:t>
      </w:r>
      <w:r>
        <w:rPr>
          <w:rFonts w:ascii="Times New Roman" w:hAnsi="Times New Roman"/>
          <w:szCs w:val="21"/>
        </w:rPr>
        <w:t>附在投标函后，名为“投标函附录”的函件。</w:t>
      </w:r>
    </w:p>
    <w:p>
      <w:pPr>
        <w:spacing w:line="360" w:lineRule="auto"/>
        <w:ind w:firstLine="420" w:firstLineChars="200"/>
        <w:rPr>
          <w:rFonts w:ascii="Times New Roman" w:hAnsi="Times New Roman"/>
          <w:szCs w:val="21"/>
        </w:rPr>
      </w:pPr>
      <w:r>
        <w:rPr>
          <w:rFonts w:ascii="Times New Roman" w:hAnsi="Times New Roman"/>
        </w:rPr>
        <w:t>1.1.1.6</w:t>
      </w:r>
      <w:r>
        <w:rPr>
          <w:rFonts w:ascii="Times New Roman" w:hAnsi="Times New Roman"/>
          <w:szCs w:val="21"/>
        </w:rPr>
        <w:t xml:space="preserve"> 委托人要求：指合同文件中名为“委托人要求”的文件。</w:t>
      </w:r>
    </w:p>
    <w:p>
      <w:pPr>
        <w:spacing w:line="360" w:lineRule="auto"/>
        <w:ind w:firstLine="420" w:firstLineChars="200"/>
        <w:rPr>
          <w:rFonts w:ascii="Times New Roman" w:hAnsi="Times New Roman"/>
          <w:szCs w:val="21"/>
        </w:rPr>
      </w:pPr>
      <w:r>
        <w:rPr>
          <w:rFonts w:ascii="Times New Roman" w:hAnsi="Times New Roman"/>
          <w:szCs w:val="21"/>
        </w:rPr>
        <w:t>1.1.1.7 监理大纲：指监理人在投标文件中的监理大纲。</w:t>
      </w:r>
    </w:p>
    <w:p>
      <w:pPr>
        <w:spacing w:line="360" w:lineRule="auto"/>
        <w:ind w:firstLine="420" w:firstLineChars="200"/>
        <w:rPr>
          <w:rFonts w:ascii="Times New Roman" w:hAnsi="Times New Roman"/>
          <w:szCs w:val="21"/>
        </w:rPr>
      </w:pPr>
      <w:r>
        <w:rPr>
          <w:rFonts w:ascii="Times New Roman" w:hAnsi="Times New Roman"/>
        </w:rPr>
        <w:t>1.1.1.8</w:t>
      </w:r>
      <w:r>
        <w:rPr>
          <w:rFonts w:ascii="Times New Roman" w:hAnsi="Times New Roman"/>
          <w:szCs w:val="21"/>
        </w:rPr>
        <w:t xml:space="preserve"> 监理报酬清单：</w:t>
      </w:r>
      <w:r>
        <w:rPr>
          <w:rFonts w:ascii="Times New Roman" w:hAnsi="Times New Roman"/>
          <w:color w:val="000000"/>
          <w:szCs w:val="21"/>
        </w:rPr>
        <w:t>指监理人投标文件中的监理报酬清单。</w:t>
      </w:r>
    </w:p>
    <w:p>
      <w:pPr>
        <w:spacing w:line="360" w:lineRule="auto"/>
        <w:ind w:firstLine="420" w:firstLineChars="200"/>
        <w:rPr>
          <w:rFonts w:ascii="Times New Roman" w:hAnsi="Times New Roman"/>
          <w:szCs w:val="21"/>
        </w:rPr>
      </w:pPr>
      <w:r>
        <w:rPr>
          <w:rFonts w:ascii="Times New Roman" w:hAnsi="Times New Roman"/>
        </w:rPr>
        <w:t>1.1.1.9</w:t>
      </w:r>
      <w:r>
        <w:rPr>
          <w:rFonts w:ascii="Times New Roman" w:hAnsi="Times New Roman"/>
          <w:szCs w:val="21"/>
        </w:rPr>
        <w:t xml:space="preserve"> 其他合同文件：指经合同双方当事人确认构成合同文件的其他文件。</w:t>
      </w:r>
    </w:p>
    <w:p>
      <w:pPr>
        <w:spacing w:line="360" w:lineRule="auto"/>
        <w:ind w:firstLine="413" w:firstLineChars="196"/>
        <w:rPr>
          <w:rFonts w:ascii="Times New Roman" w:hAnsi="Times New Roman"/>
          <w:b/>
        </w:rPr>
      </w:pPr>
      <w:r>
        <w:rPr>
          <w:rFonts w:ascii="Times New Roman" w:hAnsi="Times New Roman"/>
          <w:b/>
        </w:rPr>
        <w:t>1.1.2 合同当事人和人员</w:t>
      </w:r>
    </w:p>
    <w:p>
      <w:pPr>
        <w:spacing w:line="360" w:lineRule="auto"/>
        <w:ind w:firstLine="420" w:firstLineChars="200"/>
        <w:rPr>
          <w:rFonts w:ascii="Times New Roman" w:hAnsi="Times New Roman"/>
          <w:szCs w:val="21"/>
        </w:rPr>
      </w:pPr>
      <w:r>
        <w:rPr>
          <w:rFonts w:ascii="Times New Roman" w:hAnsi="Times New Roman"/>
          <w:szCs w:val="21"/>
        </w:rPr>
        <w:t>1.1.2.1 合同当事人：指委托人和（或）监理人。</w:t>
      </w:r>
    </w:p>
    <w:p>
      <w:pPr>
        <w:spacing w:line="360" w:lineRule="auto"/>
        <w:ind w:firstLine="420" w:firstLineChars="200"/>
        <w:rPr>
          <w:rFonts w:ascii="Times New Roman" w:hAnsi="Times New Roman"/>
          <w:szCs w:val="21"/>
        </w:rPr>
      </w:pPr>
      <w:r>
        <w:rPr>
          <w:rFonts w:ascii="Times New Roman" w:hAnsi="Times New Roman"/>
          <w:szCs w:val="21"/>
        </w:rPr>
        <w:t>1.1.2.2 委托人：指与监理人签订合同协议书的当事人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监理人：指与委托人签订合同协议书的当事人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1.1.2.4 委托人代表：指由委托人任命，并在授权范围和期限内代表委托人行使权利和履行义务的全权负责人。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1.1.2.5 总监理工程师：指由监理人任命，代表监理人行使权利和履行义务的全权负责人。</w:t>
      </w:r>
    </w:p>
    <w:p>
      <w:pPr>
        <w:spacing w:line="360" w:lineRule="auto"/>
        <w:ind w:firstLine="420" w:firstLineChars="200"/>
        <w:rPr>
          <w:rFonts w:ascii="Times New Roman" w:hAnsi="Times New Roman"/>
        </w:rPr>
      </w:pPr>
      <w:r>
        <w:rPr>
          <w:rFonts w:ascii="Times New Roman" w:hAnsi="Times New Roman"/>
        </w:rPr>
        <w:t>1.1.2.6 承包人：指在本工程监理范围内，与委托人签订勘察、设计、施工承包合同的当事人。</w:t>
      </w:r>
    </w:p>
    <w:p>
      <w:pPr>
        <w:spacing w:line="360" w:lineRule="auto"/>
        <w:ind w:firstLine="422" w:firstLineChars="200"/>
        <w:rPr>
          <w:rFonts w:ascii="Times New Roman" w:hAnsi="Times New Roman"/>
          <w:b/>
        </w:rPr>
      </w:pPr>
      <w:r>
        <w:rPr>
          <w:rFonts w:ascii="Times New Roman" w:hAnsi="Times New Roman"/>
          <w:b/>
        </w:rPr>
        <w:t>1.1.3 工程和监理</w:t>
      </w:r>
    </w:p>
    <w:p>
      <w:pPr>
        <w:spacing w:line="360" w:lineRule="auto"/>
        <w:ind w:firstLine="420" w:firstLineChars="200"/>
        <w:rPr>
          <w:rFonts w:ascii="Times New Roman" w:hAnsi="Times New Roman"/>
          <w:szCs w:val="21"/>
        </w:rPr>
      </w:pPr>
      <w:r>
        <w:rPr>
          <w:rFonts w:ascii="Times New Roman" w:hAnsi="Times New Roman"/>
          <w:szCs w:val="21"/>
        </w:rPr>
        <w:t>1.1.3.1 工程：指永久工程和（或）临时工程。</w:t>
      </w:r>
    </w:p>
    <w:p>
      <w:pPr>
        <w:spacing w:line="360" w:lineRule="auto"/>
        <w:ind w:firstLine="420" w:firstLineChars="200"/>
        <w:rPr>
          <w:rFonts w:ascii="Times New Roman" w:hAnsi="Times New Roman"/>
        </w:rPr>
      </w:pPr>
      <w:r>
        <w:rPr>
          <w:rFonts w:ascii="Times New Roman" w:hAnsi="Times New Roman"/>
        </w:rPr>
        <w:t>1.1.3.2 监理服务：指监理人接受委托人的委托，依照法律、规范标准和监理合同等，对建设工程勘察、设计或施工等阶段进行质量控制、进度控制、投资控制、合同管理、信息管理、组织协调和安全监理、环保监理的服务活动。</w:t>
      </w:r>
    </w:p>
    <w:p>
      <w:pPr>
        <w:spacing w:line="360" w:lineRule="auto"/>
        <w:ind w:firstLine="420" w:firstLineChars="200"/>
        <w:rPr>
          <w:rFonts w:ascii="Times New Roman" w:hAnsi="Times New Roman"/>
        </w:rPr>
      </w:pPr>
      <w:r>
        <w:rPr>
          <w:rFonts w:ascii="Times New Roman" w:hAnsi="Times New Roman"/>
        </w:rPr>
        <w:t>1.1.3.3 监理资料：是委托人按合同约定向监理人提供的，用于完成监理范围与内容所需要的资料。</w:t>
      </w:r>
    </w:p>
    <w:p>
      <w:pPr>
        <w:spacing w:line="360" w:lineRule="auto"/>
        <w:ind w:firstLine="420" w:firstLineChars="200"/>
        <w:rPr>
          <w:rFonts w:ascii="Times New Roman" w:hAnsi="Times New Roman"/>
        </w:rPr>
      </w:pPr>
      <w:r>
        <w:rPr>
          <w:rFonts w:ascii="Times New Roman" w:hAnsi="Times New Roman"/>
        </w:rPr>
        <w:t>1.1.3.4 监理文件：指监理人按合同约定向委托人提交的监理大纲、监理规划、监理实施细则、监理日志、监理报告、工程质量评估报告、事故处理文件、监理工作总结和其他文件等，包括阶段性文件和最终文件，且应当采用合同中双方约定的格式和载体。</w:t>
      </w:r>
    </w:p>
    <w:p>
      <w:pPr>
        <w:spacing w:line="360" w:lineRule="auto"/>
        <w:ind w:firstLine="413" w:firstLineChars="196"/>
        <w:rPr>
          <w:rFonts w:ascii="Times New Roman" w:hAnsi="Times New Roman"/>
          <w:b/>
        </w:rPr>
      </w:pPr>
      <w:r>
        <w:rPr>
          <w:rFonts w:ascii="Times New Roman" w:hAnsi="Times New Roman"/>
          <w:b/>
        </w:rPr>
        <w:t>1.1.4 日期</w:t>
      </w:r>
    </w:p>
    <w:p>
      <w:pPr>
        <w:spacing w:line="360" w:lineRule="auto"/>
        <w:ind w:firstLine="420" w:firstLineChars="200"/>
        <w:rPr>
          <w:rFonts w:ascii="Times New Roman" w:hAnsi="Times New Roman"/>
          <w:szCs w:val="21"/>
        </w:rPr>
      </w:pPr>
      <w:r>
        <w:rPr>
          <w:rFonts w:ascii="Times New Roman" w:hAnsi="Times New Roman"/>
          <w:szCs w:val="21"/>
        </w:rPr>
        <w:t>1.1.4.1 开始监理通知：指委托人按第6.1款通知监理人开始监理的函件。</w:t>
      </w:r>
    </w:p>
    <w:p>
      <w:pPr>
        <w:spacing w:line="360" w:lineRule="auto"/>
        <w:ind w:firstLine="420" w:firstLineChars="200"/>
        <w:rPr>
          <w:rFonts w:ascii="Times New Roman" w:hAnsi="Times New Roman"/>
          <w:szCs w:val="21"/>
        </w:rPr>
      </w:pPr>
      <w:r>
        <w:rPr>
          <w:rFonts w:ascii="Times New Roman" w:hAnsi="Times New Roman"/>
          <w:szCs w:val="21"/>
        </w:rPr>
        <w:t>1.1.4.2 开始监理日期：指委托人按第6.1款发出的开始监理通知中写明的开始监理日期。</w:t>
      </w:r>
    </w:p>
    <w:p>
      <w:pPr>
        <w:spacing w:line="360" w:lineRule="auto"/>
        <w:ind w:firstLine="420" w:firstLineChars="200"/>
        <w:rPr>
          <w:rFonts w:ascii="Times New Roman" w:hAnsi="Times New Roman"/>
          <w:szCs w:val="21"/>
        </w:rPr>
      </w:pPr>
      <w:r>
        <w:rPr>
          <w:rFonts w:ascii="Times New Roman" w:hAnsi="Times New Roman"/>
          <w:szCs w:val="21"/>
        </w:rPr>
        <w:t>1.1.4.3 监理服务期限：指监理人在投标函中承诺的完成合同监理服务所需的期限，包括按第6.2款和第6.3.2项约定所作的调整。</w:t>
      </w:r>
    </w:p>
    <w:p>
      <w:pPr>
        <w:spacing w:line="360" w:lineRule="auto"/>
        <w:ind w:firstLine="420" w:firstLineChars="200"/>
        <w:rPr>
          <w:rFonts w:ascii="Times New Roman" w:hAnsi="Times New Roman"/>
          <w:szCs w:val="21"/>
        </w:rPr>
      </w:pPr>
      <w:r>
        <w:rPr>
          <w:rFonts w:ascii="Times New Roman" w:hAnsi="Times New Roman"/>
          <w:szCs w:val="21"/>
        </w:rPr>
        <w:t>1.1.4.4 完成监理日期：指第1.1.4.3目约定监理服务期限届满时的日期。</w:t>
      </w:r>
    </w:p>
    <w:p>
      <w:pPr>
        <w:spacing w:line="360" w:lineRule="auto"/>
        <w:ind w:firstLine="420" w:firstLineChars="200"/>
        <w:rPr>
          <w:rFonts w:ascii="Times New Roman" w:hAnsi="Times New Roman"/>
          <w:szCs w:val="21"/>
        </w:rPr>
      </w:pPr>
      <w:r>
        <w:rPr>
          <w:rFonts w:ascii="Times New Roman" w:hAnsi="Times New Roman"/>
          <w:szCs w:val="21"/>
        </w:rPr>
        <w:t>1.1.4.5 基准日：指投标截止时间前28天的日期。</w:t>
      </w:r>
    </w:p>
    <w:p>
      <w:pPr>
        <w:spacing w:line="360" w:lineRule="auto"/>
        <w:ind w:firstLine="420" w:firstLineChars="200"/>
        <w:rPr>
          <w:rFonts w:ascii="Times New Roman" w:hAnsi="Times New Roman"/>
          <w:szCs w:val="21"/>
        </w:rPr>
      </w:pPr>
      <w:r>
        <w:rPr>
          <w:rFonts w:ascii="Times New Roman" w:hAnsi="Times New Roman"/>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rPr>
      </w:pPr>
      <w:r>
        <w:rPr>
          <w:rFonts w:ascii="Times New Roman" w:hAnsi="Times New Roman"/>
          <w:b/>
        </w:rPr>
        <w:t>1.1.5 合同价格和费用</w:t>
      </w:r>
    </w:p>
    <w:p>
      <w:pPr>
        <w:spacing w:line="360" w:lineRule="auto"/>
        <w:ind w:firstLine="420" w:firstLineChars="200"/>
        <w:rPr>
          <w:rFonts w:ascii="Times New Roman" w:hAnsi="Times New Roman"/>
          <w:szCs w:val="21"/>
        </w:rPr>
      </w:pPr>
      <w:r>
        <w:rPr>
          <w:rFonts w:ascii="Times New Roman" w:hAnsi="Times New Roman"/>
          <w:szCs w:val="21"/>
        </w:rPr>
        <w:t>1.1.5.1 签约合同价：指签订合同时合同协议书中写明的监理报酬总金额。</w:t>
      </w:r>
    </w:p>
    <w:p>
      <w:pPr>
        <w:spacing w:line="360" w:lineRule="auto"/>
        <w:ind w:firstLine="420" w:firstLineChars="200"/>
        <w:rPr>
          <w:rFonts w:ascii="Times New Roman" w:hAnsi="Times New Roman"/>
          <w:szCs w:val="21"/>
        </w:rPr>
      </w:pPr>
      <w:r>
        <w:rPr>
          <w:rFonts w:ascii="Times New Roman" w:hAnsi="Times New Roman"/>
          <w:szCs w:val="21"/>
        </w:rPr>
        <w:t>1.1.5.2 合同价格：指监理人按合同约定完成了全部监理工作后，委托人应付给监理人的金额，包括在履行合同过程中按合同约定进行的变更和调整。</w:t>
      </w:r>
    </w:p>
    <w:p>
      <w:pPr>
        <w:spacing w:line="360" w:lineRule="auto"/>
        <w:ind w:firstLine="420" w:firstLineChars="200"/>
        <w:rPr>
          <w:rFonts w:ascii="Times New Roman" w:hAnsi="Times New Roman"/>
          <w:szCs w:val="21"/>
        </w:rPr>
      </w:pPr>
      <w:r>
        <w:rPr>
          <w:rFonts w:ascii="Times New Roman" w:hAnsi="Times New Roman"/>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rPr>
      </w:pPr>
      <w:r>
        <w:rPr>
          <w:rFonts w:ascii="Times New Roman" w:hAnsi="Times New Roman"/>
          <w:b/>
        </w:rPr>
        <w:t>1.1.6 其他</w:t>
      </w:r>
    </w:p>
    <w:p>
      <w:pPr>
        <w:spacing w:line="360" w:lineRule="auto"/>
        <w:ind w:firstLine="420" w:firstLineChars="200"/>
        <w:rPr>
          <w:rFonts w:ascii="Times New Roman" w:hAnsi="Times New Roman"/>
          <w:szCs w:val="21"/>
        </w:rPr>
      </w:pPr>
      <w:r>
        <w:rPr>
          <w:rFonts w:ascii="Times New Roman" w:hAnsi="Times New Roman"/>
          <w:szCs w:val="21"/>
        </w:rPr>
        <w:t>1.1.6.1 书面形式：指合同文件、信件和数据电文（包括电报、电传、传真、电子数据交换和电子邮件）等可以有形地表现所载内容的形式。</w:t>
      </w:r>
    </w:p>
    <w:p>
      <w:pPr>
        <w:pStyle w:val="4"/>
        <w:spacing w:line="240" w:lineRule="auto"/>
        <w:ind w:firstLine="137"/>
        <w:rPr>
          <w:rFonts w:ascii="Times New Roman" w:hAnsi="Times New Roman"/>
          <w:color w:val="000000"/>
        </w:rPr>
      </w:pPr>
      <w:bookmarkStart w:id="357" w:name="_Toc482188548"/>
      <w:bookmarkStart w:id="358" w:name="_Toc20748"/>
      <w:r>
        <w:rPr>
          <w:rFonts w:ascii="Times New Roman" w:hAnsi="Times New Roman"/>
          <w:color w:val="000000"/>
        </w:rPr>
        <w:t xml:space="preserve">1.2 </w:t>
      </w:r>
      <w:r>
        <w:rPr>
          <w:rFonts w:hint="eastAsia" w:ascii="Times New Roman" w:hAnsi="Times New Roman"/>
          <w:color w:val="000000"/>
        </w:rPr>
        <w:t>语言文字</w:t>
      </w:r>
      <w:bookmarkEnd w:id="357"/>
      <w:bookmarkEnd w:id="358"/>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4"/>
        <w:spacing w:line="240" w:lineRule="auto"/>
        <w:ind w:firstLine="137"/>
        <w:rPr>
          <w:rFonts w:ascii="Times New Roman" w:hAnsi="Times New Roman"/>
          <w:color w:val="000000"/>
        </w:rPr>
      </w:pPr>
      <w:bookmarkStart w:id="359" w:name="_Toc19304"/>
      <w:bookmarkStart w:id="360" w:name="_Toc482188549"/>
      <w:r>
        <w:rPr>
          <w:rFonts w:ascii="Times New Roman" w:hAnsi="Times New Roman"/>
          <w:color w:val="000000"/>
        </w:rPr>
        <w:t xml:space="preserve">1.3 </w:t>
      </w:r>
      <w:r>
        <w:rPr>
          <w:rFonts w:hint="eastAsia" w:ascii="Times New Roman" w:hAnsi="Times New Roman"/>
          <w:color w:val="000000"/>
        </w:rPr>
        <w:t>适用法律</w:t>
      </w:r>
      <w:bookmarkEnd w:id="359"/>
      <w:bookmarkEnd w:id="360"/>
    </w:p>
    <w:p>
      <w:pPr>
        <w:spacing w:line="360" w:lineRule="auto"/>
        <w:ind w:firstLine="420" w:firstLineChars="20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rPr>
      </w:pPr>
      <w:r>
        <w:rPr>
          <w:rFonts w:ascii="Times New Roman" w:hAnsi="Times New Roman"/>
        </w:rPr>
        <w:t>本合同适用的其他规范性文件，可在专用合同条款中约定。</w:t>
      </w:r>
    </w:p>
    <w:p>
      <w:pPr>
        <w:pStyle w:val="4"/>
        <w:spacing w:line="240" w:lineRule="auto"/>
        <w:ind w:firstLine="137"/>
        <w:rPr>
          <w:rFonts w:ascii="Times New Roman" w:hAnsi="Times New Roman"/>
          <w:color w:val="000000"/>
        </w:rPr>
      </w:pPr>
      <w:bookmarkStart w:id="361" w:name="_Toc18509"/>
      <w:bookmarkStart w:id="362" w:name="_Toc482188550"/>
      <w:r>
        <w:rPr>
          <w:rFonts w:ascii="Times New Roman" w:hAnsi="Times New Roman"/>
          <w:color w:val="000000"/>
        </w:rPr>
        <w:t xml:space="preserve">1.4 </w:t>
      </w:r>
      <w:r>
        <w:rPr>
          <w:rFonts w:hint="eastAsia" w:ascii="Times New Roman" w:hAnsi="Times New Roman"/>
          <w:color w:val="000000"/>
        </w:rPr>
        <w:t>合同文件的优先顺序</w:t>
      </w:r>
      <w:bookmarkEnd w:id="361"/>
      <w:bookmarkEnd w:id="362"/>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rPr>
          <w:rFonts w:ascii="Times New Roman" w:hAnsi="Times New Roman"/>
        </w:rPr>
      </w:pPr>
      <w:r>
        <w:rPr>
          <w:rFonts w:ascii="Times New Roman" w:hAnsi="Times New Roman"/>
        </w:rPr>
        <w:t>（1）合同协议书；</w:t>
      </w:r>
    </w:p>
    <w:p>
      <w:pPr>
        <w:spacing w:line="360" w:lineRule="auto"/>
        <w:ind w:firstLine="420"/>
        <w:rPr>
          <w:rFonts w:ascii="Times New Roman" w:hAnsi="Times New Roman"/>
        </w:rPr>
      </w:pPr>
      <w:r>
        <w:rPr>
          <w:rFonts w:ascii="Times New Roman" w:hAnsi="Times New Roman"/>
        </w:rPr>
        <w:t>（2）中标通知书；</w:t>
      </w:r>
    </w:p>
    <w:p>
      <w:pPr>
        <w:spacing w:line="360" w:lineRule="auto"/>
        <w:ind w:firstLine="420"/>
        <w:rPr>
          <w:rFonts w:ascii="Times New Roman" w:hAnsi="Times New Roman"/>
        </w:rPr>
      </w:pPr>
      <w:r>
        <w:rPr>
          <w:rFonts w:ascii="Times New Roman" w:hAnsi="Times New Roman"/>
        </w:rPr>
        <w:t>（3）投标函及投标函附录；</w:t>
      </w:r>
    </w:p>
    <w:p>
      <w:pPr>
        <w:spacing w:line="360" w:lineRule="auto"/>
        <w:ind w:firstLine="420"/>
        <w:rPr>
          <w:rFonts w:ascii="Times New Roman" w:hAnsi="Times New Roman"/>
        </w:rPr>
      </w:pPr>
      <w:r>
        <w:rPr>
          <w:rFonts w:ascii="Times New Roman" w:hAnsi="Times New Roman"/>
        </w:rPr>
        <w:t>（4）专用合同条款；</w:t>
      </w:r>
    </w:p>
    <w:p>
      <w:pPr>
        <w:spacing w:line="360" w:lineRule="auto"/>
        <w:ind w:firstLine="420"/>
        <w:rPr>
          <w:rFonts w:ascii="Times New Roman" w:hAnsi="Times New Roman"/>
        </w:rPr>
      </w:pPr>
      <w:r>
        <w:rPr>
          <w:rFonts w:ascii="Times New Roman" w:hAnsi="Times New Roman"/>
        </w:rPr>
        <w:t>（5）通用合同条款；</w:t>
      </w:r>
    </w:p>
    <w:p>
      <w:pPr>
        <w:spacing w:line="360" w:lineRule="auto"/>
        <w:ind w:firstLine="420"/>
        <w:rPr>
          <w:rFonts w:ascii="Times New Roman" w:hAnsi="Times New Roman"/>
        </w:rPr>
      </w:pPr>
      <w:r>
        <w:rPr>
          <w:rFonts w:ascii="Times New Roman" w:hAnsi="Times New Roman"/>
        </w:rPr>
        <w:t>（6）委托人要求；</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）监理报酬清单；</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）监理大纲；</w:t>
      </w:r>
    </w:p>
    <w:p>
      <w:pPr>
        <w:spacing w:line="360" w:lineRule="auto"/>
        <w:ind w:firstLine="420"/>
        <w:rPr>
          <w:rFonts w:ascii="Times New Roman" w:hAnsi="Times New Roman"/>
          <w:szCs w:val="21"/>
        </w:rPr>
      </w:pPr>
      <w:r>
        <w:rPr>
          <w:rFonts w:ascii="Times New Roman" w:hAnsi="Times New Roman"/>
        </w:rPr>
        <w:t>（9）其他合同</w:t>
      </w:r>
      <w:r>
        <w:rPr>
          <w:rFonts w:ascii="Times New Roman" w:hAnsi="Times New Roman"/>
          <w:szCs w:val="21"/>
        </w:rPr>
        <w:t>文件。</w:t>
      </w:r>
    </w:p>
    <w:p>
      <w:pPr>
        <w:pStyle w:val="4"/>
        <w:spacing w:line="240" w:lineRule="auto"/>
        <w:ind w:firstLine="137"/>
        <w:rPr>
          <w:rFonts w:ascii="Times New Roman" w:hAnsi="Times New Roman"/>
          <w:color w:val="000000"/>
        </w:rPr>
      </w:pPr>
      <w:bookmarkStart w:id="363" w:name="_Toc23397"/>
      <w:bookmarkStart w:id="364" w:name="_Toc482188551"/>
      <w:r>
        <w:rPr>
          <w:rFonts w:ascii="Times New Roman" w:hAnsi="Times New Roman"/>
          <w:color w:val="000000"/>
        </w:rPr>
        <w:t xml:space="preserve">1.5 </w:t>
      </w:r>
      <w:r>
        <w:rPr>
          <w:rFonts w:hint="eastAsia" w:ascii="Times New Roman" w:hAnsi="Times New Roman"/>
          <w:color w:val="000000"/>
        </w:rPr>
        <w:t>合同协议书</w:t>
      </w:r>
      <w:bookmarkEnd w:id="363"/>
      <w:bookmarkEnd w:id="364"/>
    </w:p>
    <w:p>
      <w:pPr>
        <w:spacing w:line="360" w:lineRule="auto"/>
        <w:ind w:firstLine="420" w:firstLineChars="200"/>
        <w:rPr>
          <w:rFonts w:ascii="Times New Roman" w:hAnsi="Times New Roman"/>
          <w:szCs w:val="21"/>
        </w:rPr>
      </w:pPr>
      <w:r>
        <w:rPr>
          <w:rFonts w:ascii="Times New Roman" w:hAnsi="Times New Roman"/>
          <w:szCs w:val="21"/>
        </w:rPr>
        <w:t>监理人按中标通知书规定的时间与委托人签订合同协议书。除法律另有规定或合同另有约定外，委托人和监理人的法定代表人或其委托代理人在合同协议书上签字并盖单位章后，合同生效。</w:t>
      </w:r>
    </w:p>
    <w:p>
      <w:pPr>
        <w:pStyle w:val="4"/>
        <w:spacing w:line="240" w:lineRule="auto"/>
        <w:ind w:firstLine="137"/>
        <w:rPr>
          <w:rFonts w:ascii="Times New Roman" w:hAnsi="Times New Roman"/>
          <w:color w:val="000000"/>
        </w:rPr>
      </w:pPr>
      <w:bookmarkStart w:id="365" w:name="_Toc482188552"/>
      <w:bookmarkStart w:id="366" w:name="_Toc23473"/>
      <w:r>
        <w:rPr>
          <w:rFonts w:ascii="Times New Roman" w:hAnsi="Times New Roman"/>
          <w:color w:val="000000"/>
        </w:rPr>
        <w:t xml:space="preserve">1.6 </w:t>
      </w:r>
      <w:r>
        <w:rPr>
          <w:rFonts w:hint="eastAsia" w:ascii="Times New Roman" w:hAnsi="Times New Roman"/>
          <w:color w:val="000000"/>
        </w:rPr>
        <w:t>文件的提供和照管</w:t>
      </w:r>
      <w:bookmarkEnd w:id="365"/>
      <w:bookmarkEnd w:id="366"/>
    </w:p>
    <w:p>
      <w:pPr>
        <w:spacing w:line="360" w:lineRule="auto"/>
        <w:ind w:firstLine="422" w:firstLineChars="200"/>
        <w:rPr>
          <w:rFonts w:ascii="Times New Roman" w:hAnsi="Times New Roman"/>
          <w:b/>
        </w:rPr>
      </w:pPr>
      <w:r>
        <w:rPr>
          <w:rFonts w:ascii="Times New Roman" w:hAnsi="Times New Roman"/>
          <w:b/>
        </w:rPr>
        <w:t>1.6.1 监理文件的提供</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除专用合同条款另有约定外，监理人应在合理的期限内按照合同约定的数量向委托人提供监理文件。合同约定监理文件应经委托人批复的，委托人应当在合同约定的期限内批复或提出修改意见。</w:t>
      </w:r>
    </w:p>
    <w:p>
      <w:pPr>
        <w:spacing w:line="360" w:lineRule="auto"/>
        <w:ind w:firstLine="422" w:firstLineChars="200"/>
        <w:rPr>
          <w:rFonts w:ascii="Times New Roman" w:hAnsi="Times New Roman"/>
          <w:b/>
          <w:szCs w:val="21"/>
        </w:rPr>
      </w:pPr>
      <w:r>
        <w:rPr>
          <w:rFonts w:ascii="Times New Roman" w:hAnsi="Times New Roman"/>
          <w:b/>
        </w:rPr>
        <w:t xml:space="preserve">1.6.2 </w:t>
      </w:r>
      <w:r>
        <w:rPr>
          <w:rFonts w:hint="eastAsia" w:ascii="Times New Roman" w:hAnsi="Times New Roman"/>
          <w:b/>
          <w:szCs w:val="21"/>
        </w:rPr>
        <w:t>委托人</w:t>
      </w:r>
      <w:r>
        <w:rPr>
          <w:rFonts w:ascii="Times New Roman" w:hAnsi="Times New Roman"/>
          <w:b/>
          <w:szCs w:val="21"/>
        </w:rPr>
        <w:t>提供的文件</w:t>
      </w:r>
    </w:p>
    <w:p>
      <w:pPr>
        <w:spacing w:line="360" w:lineRule="auto"/>
        <w:ind w:firstLine="420" w:firstLineChars="200"/>
        <w:rPr>
          <w:rFonts w:ascii="Times New Roman" w:hAnsi="Times New Roman"/>
          <w:szCs w:val="21"/>
        </w:rPr>
      </w:pPr>
      <w:r>
        <w:rPr>
          <w:rFonts w:ascii="Times New Roman" w:hAnsi="Times New Roman"/>
          <w:szCs w:val="21"/>
        </w:rPr>
        <w:t>按专用合同条款约定由委托人提供的文件，包括规范标准、承包合同、勘察文件、设计文件等，委托人应按约定的数量和期限交给监理人。由于委托人未按时提供文件造成监理服务期限延误的，按第</w:t>
      </w:r>
      <w:r>
        <w:rPr>
          <w:rFonts w:ascii="Times New Roman" w:hAnsi="Times New Roman"/>
        </w:rPr>
        <w:t>6.2</w:t>
      </w:r>
      <w:r>
        <w:rPr>
          <w:rFonts w:ascii="Times New Roman" w:hAnsi="Times New Roman"/>
          <w:szCs w:val="21"/>
        </w:rPr>
        <w:t>款约定执行。</w:t>
      </w:r>
    </w:p>
    <w:p>
      <w:pPr>
        <w:spacing w:line="360" w:lineRule="auto"/>
        <w:ind w:firstLine="422" w:firstLineChars="200"/>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pPr>
        <w:spacing w:line="360" w:lineRule="auto"/>
        <w:ind w:firstLine="420" w:firstLineChars="20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pPr>
        <w:spacing w:line="360" w:lineRule="auto"/>
        <w:ind w:firstLine="422" w:firstLineChars="200"/>
        <w:rPr>
          <w:rFonts w:ascii="Times New Roman" w:hAnsi="Times New Roman"/>
          <w:b/>
        </w:rPr>
      </w:pPr>
      <w:r>
        <w:rPr>
          <w:rFonts w:ascii="Times New Roman" w:hAnsi="Times New Roman"/>
          <w:b/>
        </w:rPr>
        <w:t xml:space="preserve">1.6.4 </w:t>
      </w:r>
      <w:r>
        <w:rPr>
          <w:rFonts w:hint="eastAsia" w:ascii="Times New Roman" w:hAnsi="Times New Roman"/>
          <w:b/>
        </w:rPr>
        <w:t>文件的照管</w:t>
      </w:r>
    </w:p>
    <w:p>
      <w:pPr>
        <w:spacing w:line="360" w:lineRule="auto"/>
        <w:ind w:firstLine="420" w:firstLineChars="200"/>
        <w:rPr>
          <w:rFonts w:ascii="Times New Roman" w:hAnsi="Times New Roman"/>
          <w:szCs w:val="21"/>
        </w:rPr>
      </w:pPr>
      <w:r>
        <w:rPr>
          <w:rFonts w:hint="eastAsia" w:ascii="Times New Roman" w:hAnsi="Times New Roman"/>
          <w:szCs w:val="21"/>
        </w:rPr>
        <w:t>监理人应在现场保留一份合同文件、监理文件、委托人要求中的所列文件、以及其他根据合同收发的往来信函，以备委托人和行政管理部门查阅使用。</w:t>
      </w:r>
    </w:p>
    <w:p>
      <w:pPr>
        <w:pStyle w:val="4"/>
        <w:spacing w:line="240" w:lineRule="auto"/>
        <w:ind w:firstLine="137"/>
        <w:rPr>
          <w:rFonts w:ascii="Times New Roman" w:hAnsi="Times New Roman"/>
          <w:color w:val="000000"/>
        </w:rPr>
      </w:pPr>
      <w:bookmarkStart w:id="367" w:name="_Toc26943"/>
      <w:bookmarkStart w:id="368" w:name="_Toc482188553"/>
      <w:r>
        <w:rPr>
          <w:rFonts w:ascii="Times New Roman" w:hAnsi="Times New Roman"/>
          <w:color w:val="000000"/>
        </w:rPr>
        <w:t xml:space="preserve">1.7 </w:t>
      </w:r>
      <w:r>
        <w:rPr>
          <w:rFonts w:hint="eastAsia" w:ascii="Times New Roman" w:hAnsi="Times New Roman"/>
          <w:color w:val="000000"/>
        </w:rPr>
        <w:t>联络</w:t>
      </w:r>
      <w:bookmarkEnd w:id="367"/>
      <w:bookmarkEnd w:id="368"/>
    </w:p>
    <w:p>
      <w:pPr>
        <w:spacing w:line="360" w:lineRule="auto"/>
        <w:ind w:firstLine="420" w:firstLineChars="200"/>
        <w:rPr>
          <w:rFonts w:ascii="Times New Roman" w:hAnsi="Times New Roman"/>
          <w:szCs w:val="21"/>
        </w:rPr>
      </w:pPr>
      <w:r>
        <w:rPr>
          <w:rFonts w:ascii="Times New Roman" w:hAnsi="Times New Roman"/>
        </w:rPr>
        <w:t>1.7.1</w:t>
      </w:r>
      <w:r>
        <w:rPr>
          <w:rFonts w:ascii="Times New Roman" w:hAnsi="Times New Roman"/>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szCs w:val="21"/>
        </w:rPr>
      </w:pPr>
      <w:r>
        <w:rPr>
          <w:rFonts w:ascii="Times New Roman" w:hAnsi="Times New Roman"/>
        </w:rPr>
        <w:t>1.7.2</w:t>
      </w:r>
      <w:r>
        <w:rPr>
          <w:rFonts w:ascii="Times New Roman" w:hAnsi="Times New Roman"/>
          <w:szCs w:val="21"/>
        </w:rPr>
        <w:t xml:space="preserve"> 上述通知、批准、证明、证书、指示、要求、请求、同意、意见、确定和决定等来往函件，均应在合同约定的期限内送达指定的地点和指定的接收人，并办理签收手续。</w:t>
      </w:r>
    </w:p>
    <w:p>
      <w:pPr>
        <w:pStyle w:val="4"/>
        <w:spacing w:line="240" w:lineRule="auto"/>
        <w:ind w:firstLine="137"/>
        <w:rPr>
          <w:rFonts w:ascii="Times New Roman" w:hAnsi="Times New Roman"/>
          <w:color w:val="000000"/>
        </w:rPr>
      </w:pPr>
      <w:bookmarkStart w:id="369" w:name="_Toc9140"/>
      <w:bookmarkStart w:id="370" w:name="_Toc482188554"/>
      <w:r>
        <w:rPr>
          <w:rFonts w:ascii="Times New Roman" w:hAnsi="Times New Roman"/>
          <w:color w:val="000000"/>
        </w:rPr>
        <w:t xml:space="preserve">1.8 </w:t>
      </w:r>
      <w:r>
        <w:rPr>
          <w:rFonts w:hint="eastAsia" w:ascii="Times New Roman" w:hAnsi="Times New Roman"/>
          <w:color w:val="000000"/>
        </w:rPr>
        <w:t>转让</w:t>
      </w:r>
      <w:bookmarkEnd w:id="369"/>
      <w:bookmarkEnd w:id="370"/>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pPr>
        <w:pStyle w:val="4"/>
        <w:spacing w:line="240" w:lineRule="auto"/>
        <w:ind w:firstLine="137"/>
        <w:rPr>
          <w:rFonts w:ascii="Times New Roman" w:hAnsi="Times New Roman"/>
          <w:color w:val="000000"/>
        </w:rPr>
      </w:pPr>
      <w:bookmarkStart w:id="371" w:name="_Toc24492"/>
      <w:bookmarkStart w:id="372" w:name="_Toc482188555"/>
      <w:r>
        <w:rPr>
          <w:rFonts w:ascii="Times New Roman" w:hAnsi="Times New Roman"/>
          <w:color w:val="000000"/>
        </w:rPr>
        <w:t xml:space="preserve">1.9 </w:t>
      </w:r>
      <w:r>
        <w:rPr>
          <w:rFonts w:hint="eastAsia" w:ascii="Times New Roman" w:hAnsi="Times New Roman"/>
          <w:color w:val="000000"/>
        </w:rPr>
        <w:t>严禁贿赂</w:t>
      </w:r>
      <w:bookmarkEnd w:id="371"/>
      <w:bookmarkEnd w:id="372"/>
    </w:p>
    <w:p>
      <w:pPr>
        <w:spacing w:line="360" w:lineRule="auto"/>
        <w:ind w:firstLine="420" w:firstLineChars="20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pPr>
        <w:pStyle w:val="4"/>
        <w:spacing w:line="240" w:lineRule="auto"/>
        <w:ind w:firstLine="137"/>
        <w:rPr>
          <w:rFonts w:ascii="Times New Roman" w:hAnsi="Times New Roman"/>
          <w:color w:val="000000"/>
        </w:rPr>
      </w:pPr>
      <w:bookmarkStart w:id="373" w:name="_Toc482188556"/>
      <w:bookmarkStart w:id="374" w:name="_Toc27564"/>
      <w:r>
        <w:rPr>
          <w:rFonts w:ascii="Times New Roman" w:hAnsi="Times New Roman"/>
          <w:color w:val="000000"/>
        </w:rPr>
        <w:t xml:space="preserve">1.10 </w:t>
      </w:r>
      <w:r>
        <w:rPr>
          <w:rFonts w:hint="eastAsia" w:ascii="Times New Roman" w:hAnsi="Times New Roman"/>
          <w:color w:val="000000"/>
        </w:rPr>
        <w:t>知识产权</w:t>
      </w:r>
      <w:bookmarkEnd w:id="373"/>
      <w:bookmarkEnd w:id="374"/>
    </w:p>
    <w:p>
      <w:pPr>
        <w:spacing w:line="360" w:lineRule="auto"/>
        <w:ind w:firstLine="420" w:firstLineChars="200"/>
        <w:rPr>
          <w:rFonts w:ascii="Times New Roman" w:hAnsi="Times New Roman"/>
          <w:szCs w:val="21"/>
        </w:rPr>
      </w:pPr>
      <w:r>
        <w:rPr>
          <w:rFonts w:ascii="Times New Roman" w:hAnsi="Times New Roman"/>
        </w:rPr>
        <w:t>1.10.1除专用合同条款另有约定外，</w:t>
      </w:r>
      <w:r>
        <w:rPr>
          <w:rFonts w:ascii="Times New Roman" w:hAnsi="Times New Roman"/>
          <w:szCs w:val="21"/>
        </w:rPr>
        <w:t>监理人完成的监理工作成果，除署名权以外的著作权和其他知识产权均归委托人享有。</w:t>
      </w:r>
    </w:p>
    <w:p>
      <w:pPr>
        <w:spacing w:line="360" w:lineRule="auto"/>
        <w:ind w:firstLine="420" w:firstLineChars="200"/>
        <w:rPr>
          <w:rFonts w:ascii="Times New Roman" w:hAnsi="Times New Roman"/>
          <w:szCs w:val="21"/>
        </w:rPr>
      </w:pPr>
      <w:r>
        <w:rPr>
          <w:rFonts w:ascii="Times New Roman" w:hAnsi="Times New Roman"/>
        </w:rPr>
        <w:t xml:space="preserve">1.10.2 </w:t>
      </w:r>
      <w:r>
        <w:rPr>
          <w:rFonts w:ascii="Times New Roman" w:hAnsi="Times New Roman"/>
          <w:szCs w:val="21"/>
        </w:rPr>
        <w:t>监理人从事监理活动时不得侵犯他人的知识产权。因侵犯专利权或其他知识产权所引起的责任，由监理人自行承担。因委托人提供的监理资料导致侵权的，由委托人承担责任。</w:t>
      </w:r>
    </w:p>
    <w:p>
      <w:pPr>
        <w:spacing w:line="360" w:lineRule="auto"/>
        <w:ind w:firstLine="420" w:firstLineChars="200"/>
        <w:rPr>
          <w:rFonts w:ascii="Times New Roman" w:hAnsi="Times New Roman"/>
        </w:rPr>
      </w:pPr>
      <w:r>
        <w:rPr>
          <w:rFonts w:ascii="Times New Roman" w:hAnsi="Times New Roman"/>
        </w:rPr>
        <w:t xml:space="preserve">1.10.3 </w:t>
      </w:r>
      <w:r>
        <w:rPr>
          <w:rFonts w:ascii="Times New Roman" w:hAnsi="Times New Roman"/>
          <w:szCs w:val="21"/>
        </w:rPr>
        <w:t>监理人在投标文件中采用专利技术、专有技术的，相应的使用费视为已包含在投标报价之中。</w:t>
      </w:r>
    </w:p>
    <w:p>
      <w:pPr>
        <w:pStyle w:val="4"/>
        <w:spacing w:line="240" w:lineRule="auto"/>
        <w:ind w:firstLine="137"/>
        <w:rPr>
          <w:rFonts w:ascii="Times New Roman" w:hAnsi="Times New Roman"/>
          <w:color w:val="000000"/>
        </w:rPr>
      </w:pPr>
      <w:bookmarkStart w:id="375" w:name="_Toc16931"/>
      <w:bookmarkStart w:id="376" w:name="_Toc482188557"/>
      <w:r>
        <w:rPr>
          <w:rFonts w:ascii="Times New Roman" w:hAnsi="Times New Roman"/>
          <w:color w:val="000000"/>
        </w:rPr>
        <w:t xml:space="preserve">1.11 </w:t>
      </w:r>
      <w:r>
        <w:rPr>
          <w:rFonts w:hint="eastAsia" w:ascii="Times New Roman" w:hAnsi="Times New Roman"/>
          <w:color w:val="000000"/>
        </w:rPr>
        <w:t>文件及信息的保密</w:t>
      </w:r>
      <w:bookmarkEnd w:id="375"/>
      <w:bookmarkEnd w:id="376"/>
    </w:p>
    <w:p>
      <w:pPr>
        <w:spacing w:line="360" w:lineRule="auto"/>
        <w:ind w:firstLine="420" w:firstLineChars="20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pPr>
        <w:pStyle w:val="4"/>
        <w:spacing w:line="240" w:lineRule="auto"/>
        <w:ind w:firstLine="137"/>
        <w:rPr>
          <w:rFonts w:ascii="Times New Roman" w:hAnsi="Times New Roman"/>
          <w:color w:val="000000"/>
        </w:rPr>
      </w:pPr>
      <w:bookmarkStart w:id="377" w:name="_Toc482188558"/>
      <w:bookmarkStart w:id="378" w:name="_Toc24781"/>
      <w:r>
        <w:rPr>
          <w:rFonts w:ascii="Times New Roman" w:hAnsi="Times New Roman"/>
          <w:color w:val="000000"/>
        </w:rPr>
        <w:t xml:space="preserve">1.12 </w:t>
      </w:r>
      <w:bookmarkEnd w:id="377"/>
      <w:r>
        <w:rPr>
          <w:rFonts w:hint="eastAsia" w:ascii="Times New Roman" w:hAnsi="Times New Roman"/>
          <w:color w:val="000000"/>
        </w:rPr>
        <w:t>委托人要求</w:t>
      </w:r>
      <w:bookmarkEnd w:id="378"/>
    </w:p>
    <w:p>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监理人应认真阅读、复核委托人要求，</w:t>
      </w:r>
      <w:r>
        <w:rPr>
          <w:rFonts w:ascii="Times New Roman" w:hAnsi="Times New Roman"/>
        </w:rPr>
        <w:t>发现错误的，应及时书面通知委托人。无论是否存在错误，委托人均有权修改委托人要求，并在修改后3日内通知监理人。除专用合同</w:t>
      </w:r>
      <w:bookmarkStart w:id="379" w:name="_Toc300835045"/>
      <w:bookmarkStart w:id="380" w:name="_Toc247527649"/>
      <w:bookmarkStart w:id="381" w:name="_Toc265955390"/>
      <w:bookmarkStart w:id="382" w:name="_Toc247514048"/>
      <w:r>
        <w:rPr>
          <w:rFonts w:ascii="Times New Roman" w:hAnsi="Times New Roman"/>
        </w:rPr>
        <w:t>条款另有约定外，由此</w:t>
      </w:r>
      <w:bookmarkEnd w:id="379"/>
      <w:bookmarkEnd w:id="380"/>
      <w:bookmarkEnd w:id="381"/>
      <w:bookmarkEnd w:id="382"/>
      <w:r>
        <w:rPr>
          <w:rFonts w:ascii="Times New Roman" w:hAnsi="Times New Roman"/>
          <w:szCs w:val="21"/>
        </w:rPr>
        <w:t>导致监理人费用增加和(或)周期延误的，委托人应当相应地增加费用和(或)延长周期。</w:t>
      </w:r>
    </w:p>
    <w:p>
      <w:pPr>
        <w:spacing w:line="360" w:lineRule="auto"/>
        <w:ind w:firstLine="420"/>
        <w:rPr>
          <w:rFonts w:ascii="Times New Roman" w:hAnsi="Times New Roman"/>
          <w:szCs w:val="21"/>
        </w:rPr>
      </w:pPr>
      <w:r>
        <w:rPr>
          <w:rFonts w:ascii="Times New Roman" w:hAnsi="Times New Roman"/>
        </w:rPr>
        <w:t>1.12.2 如果</w:t>
      </w:r>
      <w:r>
        <w:rPr>
          <w:rFonts w:ascii="Times New Roman" w:hAnsi="Times New Roman"/>
          <w:szCs w:val="21"/>
        </w:rPr>
        <w:t>委托人要求违反法律规定，监理人应在</w:t>
      </w:r>
      <w:r>
        <w:rPr>
          <w:rFonts w:ascii="Times New Roman" w:hAnsi="Times New Roman"/>
        </w:rPr>
        <w:t>发现后及时书面通知委托人，要求其改正。委托人收到通知书后不予改正或不予答复的，监理人有权拒绝履行合同义务，直至解除合同；</w:t>
      </w:r>
      <w:r>
        <w:rPr>
          <w:rFonts w:ascii="Times New Roman" w:hAnsi="Times New Roman"/>
          <w:szCs w:val="21"/>
        </w:rPr>
        <w:t>由此引起的监理人的全部损失由委托人承担。</w:t>
      </w:r>
    </w:p>
    <w:p>
      <w:pPr>
        <w:spacing w:line="360" w:lineRule="auto"/>
        <w:ind w:firstLine="435"/>
        <w:rPr>
          <w:rFonts w:ascii="Times New Roman" w:hAnsi="Times New Roman"/>
        </w:rPr>
      </w:pPr>
      <w:r>
        <w:rPr>
          <w:rFonts w:ascii="Times New Roman" w:hAnsi="Times New Roman"/>
          <w:szCs w:val="21"/>
        </w:rPr>
        <w:t>1.12.3 委托人要求</w:t>
      </w:r>
      <w:r>
        <w:rPr>
          <w:rFonts w:ascii="Times New Roman" w:hAnsi="Times New Roman"/>
        </w:rPr>
        <w:t>采用国外规范和标准进行监理时，应由委托人负责提供该规范和标准的外国文本和中文译本，提供的时间、份数和其他要求</w:t>
      </w:r>
      <w:r>
        <w:rPr>
          <w:rFonts w:ascii="Times New Roman" w:hAnsi="Times New Roman"/>
          <w:szCs w:val="21"/>
        </w:rPr>
        <w:t>在专用合同条款中约定</w:t>
      </w:r>
      <w:r>
        <w:rPr>
          <w:rFonts w:ascii="Times New Roman" w:hAnsi="Times New Roman"/>
        </w:rPr>
        <w:t>。</w:t>
      </w:r>
    </w:p>
    <w:p>
      <w:pPr>
        <w:pStyle w:val="3"/>
        <w:rPr>
          <w:rFonts w:ascii="Times New Roman" w:hAnsi="Times New Roman"/>
        </w:rPr>
      </w:pPr>
      <w:bookmarkStart w:id="383" w:name="_Toc482188559"/>
      <w:bookmarkStart w:id="384" w:name="_Toc10833"/>
      <w:r>
        <w:rPr>
          <w:rFonts w:ascii="Times New Roman" w:hAnsi="Times New Roman"/>
        </w:rPr>
        <w:t xml:space="preserve">2. </w:t>
      </w:r>
      <w:r>
        <w:rPr>
          <w:rFonts w:ascii="Times New Roman" w:hAnsi="Times New Roman"/>
          <w:b w:val="0"/>
        </w:rPr>
        <w:t>委托人</w:t>
      </w:r>
      <w:r>
        <w:rPr>
          <w:rFonts w:ascii="Times New Roman" w:hAnsi="Times New Roman"/>
        </w:rPr>
        <w:t>义务</w:t>
      </w:r>
      <w:bookmarkEnd w:id="383"/>
      <w:bookmarkEnd w:id="384"/>
    </w:p>
    <w:p>
      <w:pPr>
        <w:pStyle w:val="4"/>
        <w:spacing w:line="240" w:lineRule="auto"/>
        <w:ind w:firstLine="137"/>
        <w:rPr>
          <w:rFonts w:ascii="Times New Roman" w:hAnsi="Times New Roman"/>
          <w:color w:val="000000"/>
        </w:rPr>
      </w:pPr>
      <w:bookmarkStart w:id="385" w:name="_Toc482188560"/>
      <w:bookmarkStart w:id="386" w:name="_Toc31277"/>
      <w:r>
        <w:rPr>
          <w:rFonts w:ascii="Times New Roman" w:hAnsi="Times New Roman"/>
          <w:color w:val="000000"/>
        </w:rPr>
        <w:t xml:space="preserve">2.1 </w:t>
      </w:r>
      <w:r>
        <w:rPr>
          <w:rFonts w:hint="eastAsia" w:ascii="Times New Roman" w:hAnsi="Times New Roman"/>
          <w:color w:val="000000"/>
        </w:rPr>
        <w:t>遵守法律</w:t>
      </w:r>
      <w:bookmarkEnd w:id="385"/>
      <w:bookmarkEnd w:id="386"/>
    </w:p>
    <w:p>
      <w:pPr>
        <w:spacing w:line="360" w:lineRule="auto"/>
        <w:ind w:firstLine="420" w:firstLineChars="200"/>
        <w:rPr>
          <w:rFonts w:ascii="Times New Roman" w:hAnsi="Times New Roman"/>
        </w:rPr>
      </w:pPr>
      <w:r>
        <w:rPr>
          <w:rFonts w:ascii="Times New Roman" w:hAnsi="Times New Roman"/>
          <w:szCs w:val="21"/>
        </w:rPr>
        <w:t>委托人在履行合同过程中应遵守法律，并保证监理人免于承担因委托人违反法律而引起的</w:t>
      </w:r>
      <w:bookmarkStart w:id="387" w:name="_Toc247514049"/>
      <w:bookmarkStart w:id="388" w:name="_Toc385592087"/>
      <w:bookmarkStart w:id="389" w:name="_Toc385942918"/>
      <w:bookmarkStart w:id="390" w:name="_Toc300835048"/>
      <w:bookmarkStart w:id="391" w:name="_Toc247527650"/>
      <w:bookmarkStart w:id="392" w:name="_Toc370281722"/>
      <w:bookmarkStart w:id="393" w:name="_Toc184635099"/>
      <w:r>
        <w:rPr>
          <w:rFonts w:ascii="Times New Roman" w:hAnsi="Times New Roman"/>
          <w:szCs w:val="21"/>
        </w:rPr>
        <w:t>任何责任。</w:t>
      </w:r>
    </w:p>
    <w:p>
      <w:pPr>
        <w:pStyle w:val="4"/>
        <w:spacing w:line="240" w:lineRule="auto"/>
        <w:ind w:firstLine="137"/>
        <w:rPr>
          <w:rFonts w:ascii="Times New Roman" w:hAnsi="Times New Roman"/>
          <w:color w:val="000000"/>
        </w:rPr>
      </w:pPr>
      <w:bookmarkStart w:id="394" w:name="_Toc28302"/>
      <w:bookmarkStart w:id="395" w:name="_Toc482188561"/>
      <w:r>
        <w:rPr>
          <w:rFonts w:ascii="Times New Roman" w:hAnsi="Times New Roman"/>
          <w:color w:val="000000"/>
        </w:rPr>
        <w:t>2</w:t>
      </w:r>
      <w:bookmarkEnd w:id="387"/>
      <w:bookmarkEnd w:id="388"/>
      <w:bookmarkEnd w:id="389"/>
      <w:bookmarkEnd w:id="390"/>
      <w:bookmarkEnd w:id="391"/>
      <w:bookmarkEnd w:id="392"/>
      <w:bookmarkEnd w:id="393"/>
      <w:r>
        <w:rPr>
          <w:rFonts w:ascii="Times New Roman" w:hAnsi="Times New Roman"/>
          <w:color w:val="000000"/>
        </w:rPr>
        <w:t>.2</w:t>
      </w:r>
      <w:bookmarkStart w:id="396" w:name="_Toc247514050"/>
      <w:bookmarkStart w:id="397" w:name="_Toc300835049"/>
      <w:bookmarkStart w:id="398" w:name="_Toc247527651"/>
      <w:bookmarkStart w:id="399" w:name="_Toc300835052"/>
      <w:bookmarkStart w:id="400" w:name="_Toc385942919"/>
      <w:bookmarkStart w:id="401" w:name="_Toc247514053"/>
      <w:bookmarkStart w:id="402" w:name="_Toc370281723"/>
      <w:bookmarkStart w:id="403" w:name="_Toc247527654"/>
      <w:r>
        <w:rPr>
          <w:rFonts w:ascii="Times New Roman" w:hAnsi="Times New Roman"/>
          <w:color w:val="000000"/>
        </w:rPr>
        <w:t xml:space="preserve"> </w:t>
      </w:r>
      <w:r>
        <w:rPr>
          <w:rFonts w:hint="eastAsia" w:ascii="Times New Roman" w:hAnsi="Times New Roman"/>
          <w:color w:val="000000"/>
        </w:rPr>
        <w:t>发出开始监理通</w:t>
      </w:r>
      <w:bookmarkEnd w:id="396"/>
      <w:bookmarkEnd w:id="397"/>
      <w:bookmarkEnd w:id="398"/>
      <w:r>
        <w:rPr>
          <w:rFonts w:hint="eastAsia" w:ascii="Times New Roman" w:hAnsi="Times New Roman"/>
          <w:color w:val="000000"/>
        </w:rPr>
        <w:t>知</w:t>
      </w:r>
      <w:bookmarkEnd w:id="394"/>
      <w:bookmarkEnd w:id="395"/>
    </w:p>
    <w:p>
      <w:pPr>
        <w:spacing w:line="360" w:lineRule="auto"/>
        <w:ind w:firstLine="420" w:firstLineChars="200"/>
        <w:rPr>
          <w:rFonts w:ascii="Times New Roman" w:hAnsi="Times New Roman"/>
          <w:szCs w:val="21"/>
        </w:rPr>
      </w:pPr>
      <w:r>
        <w:rPr>
          <w:rFonts w:ascii="Times New Roman" w:hAnsi="Times New Roman"/>
          <w:szCs w:val="21"/>
        </w:rPr>
        <w:t>委托人应按第6.1款的约定向监理人发出开始监理通知。</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除专用合同条款另有约定外，委托人应为监理人的现场人员，在施工期间提供办公房间、办公桌椅、互联网接口、冷暖设施、生活设施、进出现场交通服务和其他便利条件。</w:t>
      </w:r>
    </w:p>
    <w:p>
      <w:pPr>
        <w:pStyle w:val="4"/>
        <w:spacing w:line="240" w:lineRule="auto"/>
        <w:ind w:firstLine="137"/>
        <w:rPr>
          <w:rFonts w:ascii="Times New Roman" w:hAnsi="Times New Roman"/>
          <w:color w:val="000000"/>
        </w:rPr>
      </w:pPr>
      <w:bookmarkStart w:id="404" w:name="_Toc482188562"/>
      <w:bookmarkStart w:id="405" w:name="_Toc27128"/>
      <w:r>
        <w:rPr>
          <w:rFonts w:ascii="Times New Roman" w:hAnsi="Times New Roman"/>
          <w:color w:val="000000"/>
        </w:rPr>
        <w:t>2.</w:t>
      </w:r>
      <w:bookmarkStart w:id="406" w:name="_Toc300835051"/>
      <w:bookmarkStart w:id="407" w:name="_Toc247527653"/>
      <w:bookmarkStart w:id="408" w:name="_Toc247514052"/>
      <w:r>
        <w:rPr>
          <w:rFonts w:ascii="Times New Roman" w:hAnsi="Times New Roman"/>
          <w:color w:val="000000"/>
        </w:rPr>
        <w:t xml:space="preserve">3 </w:t>
      </w:r>
      <w:r>
        <w:rPr>
          <w:rFonts w:hint="eastAsia" w:ascii="Times New Roman" w:hAnsi="Times New Roman"/>
          <w:color w:val="000000"/>
        </w:rPr>
        <w:t>办理证件</w:t>
      </w:r>
      <w:bookmarkEnd w:id="406"/>
      <w:bookmarkEnd w:id="407"/>
      <w:bookmarkEnd w:id="408"/>
      <w:r>
        <w:rPr>
          <w:rFonts w:hint="eastAsia" w:ascii="Times New Roman" w:hAnsi="Times New Roman"/>
          <w:color w:val="000000"/>
        </w:rPr>
        <w:t>和批件</w:t>
      </w:r>
      <w:bookmarkEnd w:id="404"/>
      <w:bookmarkEnd w:id="405"/>
    </w:p>
    <w:p>
      <w:pPr>
        <w:spacing w:line="360" w:lineRule="auto"/>
        <w:ind w:firstLine="420" w:firstLineChars="200"/>
        <w:rPr>
          <w:rFonts w:ascii="Times New Roman" w:hAnsi="Times New Roman"/>
          <w:szCs w:val="21"/>
        </w:rPr>
      </w:pPr>
      <w:r>
        <w:rPr>
          <w:rFonts w:ascii="Times New Roman" w:hAnsi="Times New Roman"/>
          <w:szCs w:val="21"/>
        </w:rPr>
        <w:t>法律规定和（或）合同约定由委托人负责办理的工程建设项目必须履行的各类审批、核准或备案手续，委托人应当按时办理，监理人应给予必要的协助。</w:t>
      </w:r>
    </w:p>
    <w:p>
      <w:pPr>
        <w:spacing w:line="360" w:lineRule="auto"/>
        <w:ind w:firstLine="420" w:firstLineChars="200"/>
        <w:rPr>
          <w:rFonts w:ascii="Times New Roman" w:hAnsi="Times New Roman"/>
          <w:szCs w:val="21"/>
        </w:rPr>
      </w:pPr>
      <w:r>
        <w:rPr>
          <w:rFonts w:ascii="Times New Roman" w:hAnsi="Times New Roman"/>
          <w:szCs w:val="21"/>
        </w:rPr>
        <w:t>法律规定和（或）合同约定由监理人负责办理的监理所需的证件和批件，委托人应给予必要的协助。</w:t>
      </w:r>
    </w:p>
    <w:p>
      <w:pPr>
        <w:pStyle w:val="4"/>
        <w:spacing w:line="240" w:lineRule="auto"/>
        <w:ind w:firstLine="137"/>
        <w:rPr>
          <w:rFonts w:ascii="Times New Roman" w:hAnsi="Times New Roman"/>
          <w:color w:val="000000"/>
        </w:rPr>
      </w:pPr>
      <w:bookmarkStart w:id="409" w:name="_Toc8388"/>
      <w:bookmarkStart w:id="410" w:name="_Toc482188563"/>
      <w:r>
        <w:rPr>
          <w:rFonts w:ascii="Times New Roman" w:hAnsi="Times New Roman"/>
          <w:color w:val="000000"/>
        </w:rPr>
        <w:t xml:space="preserve">2.4 </w:t>
      </w:r>
      <w:r>
        <w:rPr>
          <w:rFonts w:hint="eastAsia" w:ascii="Times New Roman" w:hAnsi="Times New Roman"/>
          <w:color w:val="000000"/>
        </w:rPr>
        <w:t>支付合同价款</w:t>
      </w:r>
      <w:bookmarkEnd w:id="409"/>
      <w:bookmarkEnd w:id="410"/>
    </w:p>
    <w:p>
      <w:pPr>
        <w:spacing w:line="360" w:lineRule="auto"/>
        <w:ind w:firstLine="420" w:firstLineChars="200"/>
        <w:rPr>
          <w:rFonts w:ascii="Times New Roman" w:hAnsi="Times New Roman"/>
          <w:szCs w:val="21"/>
        </w:rPr>
      </w:pPr>
      <w:r>
        <w:rPr>
          <w:rFonts w:ascii="Times New Roman" w:hAnsi="Times New Roman"/>
          <w:szCs w:val="21"/>
        </w:rPr>
        <w:t>委托人应按合同约定向监理人及时支付合同价款。</w:t>
      </w:r>
    </w:p>
    <w:p>
      <w:pPr>
        <w:pStyle w:val="4"/>
        <w:spacing w:line="240" w:lineRule="auto"/>
        <w:ind w:firstLine="137"/>
        <w:rPr>
          <w:rFonts w:ascii="Times New Roman" w:hAnsi="Times New Roman"/>
          <w:color w:val="000000"/>
        </w:rPr>
      </w:pPr>
      <w:bookmarkStart w:id="411" w:name="_Toc474833987"/>
      <w:bookmarkStart w:id="412" w:name="_Toc482188564"/>
      <w:bookmarkStart w:id="413" w:name="_Toc10549"/>
      <w:r>
        <w:rPr>
          <w:rFonts w:ascii="Times New Roman" w:hAnsi="Times New Roman"/>
          <w:color w:val="000000"/>
        </w:rPr>
        <w:t xml:space="preserve">2.5 </w:t>
      </w:r>
      <w:r>
        <w:rPr>
          <w:rFonts w:hint="eastAsia" w:ascii="Times New Roman" w:hAnsi="Times New Roman"/>
          <w:color w:val="000000"/>
        </w:rPr>
        <w:t>提供监理资料</w:t>
      </w:r>
      <w:bookmarkEnd w:id="411"/>
      <w:bookmarkEnd w:id="412"/>
      <w:bookmarkEnd w:id="413"/>
    </w:p>
    <w:p>
      <w:pPr>
        <w:spacing w:line="360" w:lineRule="auto"/>
        <w:ind w:firstLine="420" w:firstLineChars="200"/>
        <w:rPr>
          <w:rFonts w:ascii="Times New Roman" w:hAnsi="Times New Roman"/>
          <w:szCs w:val="21"/>
        </w:rPr>
      </w:pPr>
      <w:r>
        <w:rPr>
          <w:rFonts w:ascii="Times New Roman" w:hAnsi="Times New Roman"/>
          <w:szCs w:val="21"/>
        </w:rPr>
        <w:t>委托人应按第1.6.2项的约定向监理人提供监理资料。</w:t>
      </w:r>
    </w:p>
    <w:bookmarkEnd w:id="399"/>
    <w:bookmarkEnd w:id="400"/>
    <w:bookmarkEnd w:id="401"/>
    <w:bookmarkEnd w:id="402"/>
    <w:bookmarkEnd w:id="403"/>
    <w:p>
      <w:pPr>
        <w:pStyle w:val="4"/>
        <w:spacing w:line="240" w:lineRule="auto"/>
        <w:ind w:firstLine="137"/>
        <w:rPr>
          <w:rFonts w:ascii="Times New Roman" w:hAnsi="Times New Roman"/>
          <w:color w:val="000000"/>
        </w:rPr>
      </w:pPr>
      <w:bookmarkStart w:id="414" w:name="_Toc20885"/>
      <w:bookmarkStart w:id="415" w:name="_Toc482188565"/>
      <w:r>
        <w:rPr>
          <w:rFonts w:ascii="Times New Roman" w:hAnsi="Times New Roman"/>
          <w:color w:val="000000"/>
        </w:rPr>
        <w:t xml:space="preserve">2.6 </w:t>
      </w:r>
      <w:r>
        <w:rPr>
          <w:rFonts w:hint="eastAsia" w:ascii="Times New Roman" w:hAnsi="Times New Roman"/>
          <w:color w:val="000000"/>
        </w:rPr>
        <w:t>其他义务</w:t>
      </w:r>
      <w:bookmarkEnd w:id="414"/>
      <w:bookmarkEnd w:id="415"/>
    </w:p>
    <w:p>
      <w:pPr>
        <w:spacing w:line="360" w:lineRule="auto"/>
        <w:ind w:firstLine="420" w:firstLineChars="200"/>
        <w:rPr>
          <w:rFonts w:ascii="Times New Roman" w:hAnsi="Times New Roman"/>
          <w:szCs w:val="21"/>
        </w:rPr>
      </w:pPr>
      <w:r>
        <w:rPr>
          <w:rFonts w:ascii="Times New Roman" w:hAnsi="Times New Roman"/>
          <w:szCs w:val="21"/>
        </w:rPr>
        <w:t>委托人应履行合同约定的其他义务</w:t>
      </w:r>
      <w:bookmarkStart w:id="416" w:name="_Toc370281728"/>
      <w:bookmarkStart w:id="417" w:name="_Toc385942924"/>
      <w:r>
        <w:rPr>
          <w:rFonts w:ascii="Times New Roman" w:hAnsi="Times New Roman"/>
          <w:szCs w:val="21"/>
        </w:rPr>
        <w:t>。</w:t>
      </w:r>
    </w:p>
    <w:p>
      <w:pPr>
        <w:pStyle w:val="3"/>
        <w:rPr>
          <w:rFonts w:ascii="Times New Roman" w:hAnsi="Times New Roman"/>
        </w:rPr>
      </w:pPr>
      <w:bookmarkStart w:id="418" w:name="_Toc482188566"/>
      <w:bookmarkStart w:id="419" w:name="_Toc31437"/>
      <w:r>
        <w:rPr>
          <w:rFonts w:ascii="Times New Roman" w:hAnsi="Times New Roman"/>
        </w:rPr>
        <w:t xml:space="preserve">3. </w:t>
      </w:r>
      <w:r>
        <w:rPr>
          <w:rFonts w:ascii="Times New Roman" w:hAnsi="Times New Roman"/>
          <w:b w:val="0"/>
        </w:rPr>
        <w:t>委托人</w:t>
      </w:r>
      <w:r>
        <w:rPr>
          <w:rFonts w:ascii="Times New Roman" w:hAnsi="Times New Roman"/>
        </w:rPr>
        <w:t>管</w:t>
      </w:r>
      <w:bookmarkEnd w:id="416"/>
      <w:bookmarkEnd w:id="417"/>
      <w:r>
        <w:rPr>
          <w:rFonts w:ascii="Times New Roman" w:hAnsi="Times New Roman"/>
        </w:rPr>
        <w:t>理</w:t>
      </w:r>
      <w:bookmarkEnd w:id="418"/>
      <w:bookmarkEnd w:id="419"/>
    </w:p>
    <w:p>
      <w:pPr>
        <w:pStyle w:val="4"/>
        <w:spacing w:line="240" w:lineRule="auto"/>
        <w:ind w:firstLine="137"/>
        <w:rPr>
          <w:rFonts w:ascii="Times New Roman" w:hAnsi="Times New Roman"/>
          <w:color w:val="000000"/>
        </w:rPr>
      </w:pPr>
      <w:bookmarkStart w:id="420" w:name="_Toc8656"/>
      <w:bookmarkStart w:id="421" w:name="_Toc482188567"/>
      <w:r>
        <w:rPr>
          <w:rFonts w:ascii="Times New Roman" w:hAnsi="Times New Roman"/>
          <w:color w:val="000000"/>
        </w:rPr>
        <w:t xml:space="preserve">3.1 </w:t>
      </w:r>
      <w:r>
        <w:rPr>
          <w:rFonts w:hint="eastAsia" w:ascii="Times New Roman" w:hAnsi="Times New Roman"/>
          <w:color w:val="000000"/>
        </w:rPr>
        <w:t>委托人代表</w:t>
      </w:r>
      <w:bookmarkEnd w:id="420"/>
      <w:bookmarkEnd w:id="421"/>
    </w:p>
    <w:p>
      <w:pPr>
        <w:spacing w:line="360" w:lineRule="auto"/>
        <w:ind w:firstLine="420" w:firstLineChars="200"/>
        <w:rPr>
          <w:rFonts w:ascii="Times New Roman" w:hAnsi="Times New Roman"/>
        </w:rPr>
      </w:pPr>
      <w:r>
        <w:rPr>
          <w:rFonts w:ascii="Times New Roman" w:hAnsi="Times New Roman"/>
        </w:rPr>
        <w:t>3.1.1除专用合同条款</w:t>
      </w:r>
      <w:bookmarkStart w:id="422" w:name="_Toc247514057"/>
      <w:bookmarkStart w:id="423" w:name="_Toc385942925"/>
      <w:bookmarkStart w:id="424" w:name="_Toc300835055"/>
      <w:bookmarkStart w:id="425" w:name="_Toc370281729"/>
      <w:bookmarkStart w:id="426" w:name="_Toc247527658"/>
      <w:r>
        <w:rPr>
          <w:rFonts w:ascii="Times New Roman" w:hAnsi="Times New Roman"/>
        </w:rPr>
        <w:t>另有约定外，</w:t>
      </w:r>
      <w:bookmarkEnd w:id="422"/>
      <w:bookmarkEnd w:id="423"/>
      <w:bookmarkEnd w:id="424"/>
      <w:bookmarkEnd w:id="425"/>
      <w:bookmarkEnd w:id="426"/>
      <w:r>
        <w:rPr>
          <w:rFonts w:ascii="Times New Roman" w:hAnsi="Times New Roman"/>
        </w:rPr>
        <w:t>委托人应在合同签订后14天内，将委托人代</w:t>
      </w:r>
      <w:bookmarkStart w:id="427" w:name="_Toc247527659"/>
      <w:bookmarkStart w:id="428" w:name="_Toc247514058"/>
      <w:bookmarkStart w:id="429" w:name="_Toc300835056"/>
      <w:bookmarkStart w:id="430" w:name="_Toc184635100"/>
      <w:r>
        <w:rPr>
          <w:rFonts w:ascii="Times New Roman" w:hAnsi="Times New Roman"/>
        </w:rPr>
        <w:t>表的姓名、职</w:t>
      </w:r>
      <w:bookmarkEnd w:id="427"/>
      <w:bookmarkEnd w:id="428"/>
      <w:bookmarkEnd w:id="429"/>
      <w:bookmarkEnd w:id="430"/>
      <w:r>
        <w:rPr>
          <w:rFonts w:ascii="Times New Roman" w:hAnsi="Times New Roman"/>
        </w:rPr>
        <w:t>务、联</w:t>
      </w:r>
      <w:bookmarkStart w:id="431" w:name="_Toc351203511"/>
      <w:r>
        <w:rPr>
          <w:rFonts w:ascii="Times New Roman" w:hAnsi="Times New Roman"/>
        </w:rPr>
        <w:t>系方式、授权范围和</w:t>
      </w:r>
      <w:bookmarkEnd w:id="431"/>
      <w:r>
        <w:rPr>
          <w:rFonts w:ascii="Times New Roman" w:hAnsi="Times New Roman"/>
        </w:rPr>
        <w:t>授权期限书面通知监理人，由委托人代表在其授权范围和授权期限内，代表委托人行使权利、履行义务和处理合同履行中的具体事宜。委托人代表在授权范围内的行为由委托人承担法律责任。</w:t>
      </w:r>
    </w:p>
    <w:p>
      <w:pPr>
        <w:spacing w:line="360" w:lineRule="auto"/>
        <w:ind w:firstLine="420" w:firstLineChars="200"/>
        <w:rPr>
          <w:rFonts w:ascii="Times New Roman" w:hAnsi="Times New Roman"/>
        </w:rPr>
      </w:pPr>
      <w:r>
        <w:rPr>
          <w:rFonts w:ascii="Times New Roman" w:hAnsi="Times New Roman"/>
        </w:rPr>
        <w:t>3.1.2委托人代表违反法律法规、违背职业道德守则或者不按合同约定履行职责及义务，导致合同无法继续正常履行的，监理人有权通知委托人更换委托人代表。委托人收到通知后7天内，应当核实完毕并将处理结果通知监理人。</w:t>
      </w:r>
    </w:p>
    <w:p>
      <w:pPr>
        <w:spacing w:line="360" w:lineRule="auto"/>
        <w:ind w:firstLine="420" w:firstLineChars="200"/>
        <w:rPr>
          <w:rFonts w:ascii="Times New Roman" w:hAnsi="Times New Roman"/>
        </w:rPr>
      </w:pPr>
      <w:r>
        <w:rPr>
          <w:rFonts w:ascii="Times New Roman" w:hAnsi="Times New Roman"/>
        </w:rPr>
        <w:t>3.1.3 委托人更换委托人代表的，应提前14天将更换人员的姓名、职务、联系方式、授权范围和授权期限书面通知监理人。委托人代表超过2天不能履行职责的，应委派代表代行其职责，并通知监理人。</w:t>
      </w:r>
    </w:p>
    <w:p>
      <w:pPr>
        <w:pStyle w:val="4"/>
        <w:spacing w:line="240" w:lineRule="auto"/>
        <w:ind w:firstLine="137"/>
        <w:rPr>
          <w:rFonts w:ascii="Times New Roman" w:hAnsi="Times New Roman"/>
          <w:color w:val="000000"/>
        </w:rPr>
      </w:pPr>
      <w:bookmarkStart w:id="432" w:name="_Toc482188569"/>
      <w:bookmarkStart w:id="433" w:name="_Toc26547"/>
      <w:r>
        <w:rPr>
          <w:rFonts w:ascii="Times New Roman" w:hAnsi="Times New Roman"/>
          <w:color w:val="000000"/>
        </w:rPr>
        <w:t xml:space="preserve">3.2 </w:t>
      </w:r>
      <w:r>
        <w:rPr>
          <w:rFonts w:hint="eastAsia" w:ascii="Times New Roman" w:hAnsi="Times New Roman"/>
          <w:color w:val="000000"/>
        </w:rPr>
        <w:t>委托人的指示</w:t>
      </w:r>
      <w:bookmarkEnd w:id="432"/>
      <w:bookmarkEnd w:id="433"/>
    </w:p>
    <w:p>
      <w:pPr>
        <w:spacing w:line="360" w:lineRule="auto"/>
        <w:ind w:firstLine="420" w:firstLineChars="200"/>
        <w:rPr>
          <w:rFonts w:ascii="Times New Roman" w:hAnsi="Times New Roman"/>
          <w:szCs w:val="21"/>
        </w:rPr>
      </w:pPr>
      <w:r>
        <w:rPr>
          <w:rFonts w:ascii="Times New Roman" w:hAnsi="Times New Roman"/>
        </w:rPr>
        <w:t xml:space="preserve">3.2.1 </w:t>
      </w:r>
      <w:r>
        <w:rPr>
          <w:rFonts w:ascii="Times New Roman" w:hAnsi="Times New Roman"/>
          <w:szCs w:val="21"/>
        </w:rPr>
        <w:t>委托人应按合同约定向监理人发出指示，委托人的指示应盖有委托人单位章</w:t>
      </w:r>
      <w:bookmarkStart w:id="434" w:name="_Toc247514062"/>
      <w:bookmarkStart w:id="435" w:name="_Toc247527663"/>
      <w:bookmarkStart w:id="436" w:name="_Toc300835060"/>
      <w:r>
        <w:rPr>
          <w:rFonts w:ascii="Times New Roman" w:hAnsi="Times New Roman"/>
          <w:szCs w:val="21"/>
        </w:rPr>
        <w:t>，并由</w:t>
      </w:r>
      <w:bookmarkEnd w:id="434"/>
      <w:bookmarkEnd w:id="435"/>
      <w:bookmarkEnd w:id="436"/>
      <w:r>
        <w:rPr>
          <w:rFonts w:ascii="Times New Roman" w:hAnsi="Times New Roman"/>
          <w:szCs w:val="21"/>
        </w:rPr>
        <w:t>委托人代表签字确认。</w:t>
      </w:r>
    </w:p>
    <w:p>
      <w:pPr>
        <w:spacing w:line="360" w:lineRule="auto"/>
        <w:ind w:firstLine="420" w:firstLineChars="200"/>
        <w:rPr>
          <w:rFonts w:ascii="Times New Roman" w:hAnsi="Times New Roman"/>
          <w:szCs w:val="21"/>
        </w:rPr>
      </w:pPr>
      <w:r>
        <w:rPr>
          <w:rFonts w:ascii="Times New Roman" w:hAnsi="Times New Roman"/>
        </w:rPr>
        <w:t xml:space="preserve">3.2.2 </w:t>
      </w:r>
      <w:r>
        <w:rPr>
          <w:rFonts w:ascii="Times New Roman" w:hAnsi="Times New Roman"/>
          <w:szCs w:val="21"/>
        </w:rPr>
        <w:t>监理人收到委托人作出的指示后应遵照执行。指示构成变更的，应按第</w:t>
      </w:r>
      <w:r>
        <w:rPr>
          <w:rFonts w:ascii="Times New Roman" w:hAnsi="Times New Roman"/>
        </w:rPr>
        <w:t>8</w:t>
      </w:r>
      <w:r>
        <w:rPr>
          <w:rFonts w:ascii="Times New Roman" w:hAnsi="Times New Roman"/>
          <w:szCs w:val="21"/>
        </w:rPr>
        <w:t>条执行。</w:t>
      </w:r>
    </w:p>
    <w:p>
      <w:pPr>
        <w:spacing w:line="360" w:lineRule="auto"/>
        <w:ind w:firstLine="420" w:firstLineChars="200"/>
        <w:rPr>
          <w:rFonts w:ascii="Times New Roman" w:hAnsi="Times New Roman"/>
          <w:szCs w:val="21"/>
        </w:rPr>
      </w:pPr>
      <w:r>
        <w:rPr>
          <w:rFonts w:ascii="Times New Roman" w:hAnsi="Times New Roman"/>
        </w:rPr>
        <w:t xml:space="preserve">3.2.3 </w:t>
      </w:r>
      <w:r>
        <w:rPr>
          <w:rFonts w:ascii="Times New Roman" w:hAnsi="Times New Roman"/>
          <w:szCs w:val="21"/>
        </w:rPr>
        <w:t>在紧急情况下，委托人代表或其授权人员可以当场签发临时书面指示，监理人应遵照执行。委托人代表应在临时书面指示发出后24小时内发出书面确认函，逾期未发出书面确认函的，该临时书面指示应被视为委托人的正式指示。</w:t>
      </w:r>
    </w:p>
    <w:p>
      <w:pPr>
        <w:spacing w:line="360" w:lineRule="auto"/>
        <w:ind w:firstLine="420" w:firstLineChars="200"/>
        <w:rPr>
          <w:rFonts w:ascii="Times New Roman" w:hAnsi="Times New Roman"/>
          <w:szCs w:val="21"/>
        </w:rPr>
      </w:pPr>
      <w:r>
        <w:rPr>
          <w:rFonts w:ascii="Times New Roman" w:hAnsi="Times New Roman"/>
        </w:rPr>
        <w:t xml:space="preserve">3.2.4 </w:t>
      </w:r>
      <w:r>
        <w:rPr>
          <w:rFonts w:ascii="Times New Roman" w:hAnsi="Times New Roman"/>
          <w:szCs w:val="21"/>
        </w:rPr>
        <w:t>由于委托人未能按合同约定发出指示、指示延误或指示错误而导致监理人费用增加和（或）周期延误的，委托人应承担由此增加的费用和（或）周期延误。</w:t>
      </w:r>
    </w:p>
    <w:p>
      <w:pPr>
        <w:pStyle w:val="4"/>
        <w:spacing w:line="240" w:lineRule="auto"/>
        <w:ind w:firstLine="137"/>
        <w:rPr>
          <w:rFonts w:ascii="Times New Roman" w:hAnsi="Times New Roman"/>
          <w:color w:val="000000"/>
        </w:rPr>
      </w:pPr>
      <w:bookmarkStart w:id="437" w:name="_Toc15477"/>
      <w:bookmarkStart w:id="438" w:name="_Toc482188570"/>
      <w:r>
        <w:rPr>
          <w:rFonts w:ascii="Times New Roman" w:hAnsi="Times New Roman"/>
          <w:color w:val="000000"/>
        </w:rPr>
        <w:t xml:space="preserve">3.3 </w:t>
      </w:r>
      <w:r>
        <w:rPr>
          <w:rFonts w:hint="eastAsia" w:ascii="Times New Roman" w:hAnsi="Times New Roman"/>
          <w:color w:val="000000"/>
        </w:rPr>
        <w:t>决定或答复</w:t>
      </w:r>
      <w:bookmarkEnd w:id="437"/>
      <w:bookmarkEnd w:id="438"/>
    </w:p>
    <w:p>
      <w:pPr>
        <w:spacing w:line="360" w:lineRule="auto"/>
        <w:ind w:firstLine="420" w:firstLineChars="200"/>
        <w:rPr>
          <w:rFonts w:ascii="Times New Roman" w:hAnsi="Times New Roman"/>
          <w:szCs w:val="21"/>
        </w:rPr>
      </w:pPr>
      <w:r>
        <w:rPr>
          <w:rFonts w:ascii="Times New Roman" w:hAnsi="Times New Roman"/>
          <w:szCs w:val="21"/>
        </w:rPr>
        <w:t>3.3.1 委托人在法律允许的范围内有权对监理人的监理工作和/或监理文件作出处理决定</w:t>
      </w:r>
      <w:bookmarkStart w:id="439" w:name="_Toc385592088"/>
      <w:bookmarkStart w:id="440" w:name="_Toc370281730"/>
      <w:bookmarkStart w:id="441" w:name="_Toc385942926"/>
      <w:bookmarkStart w:id="442" w:name="_Toc247514064"/>
      <w:bookmarkStart w:id="443" w:name="_Toc247527665"/>
      <w:bookmarkStart w:id="444" w:name="_Toc184635101"/>
      <w:bookmarkStart w:id="445" w:name="_Toc300835062"/>
      <w:r>
        <w:rPr>
          <w:rFonts w:ascii="Times New Roman" w:hAnsi="Times New Roman"/>
          <w:szCs w:val="21"/>
        </w:rPr>
        <w:t>，监理人应按照委托人的决定执行，涉及监理服务期限或监理报酬等问题按第</w:t>
      </w:r>
      <w:r>
        <w:rPr>
          <w:rFonts w:ascii="Times New Roman" w:hAnsi="Times New Roman"/>
        </w:rPr>
        <w:t>8</w:t>
      </w:r>
      <w:r>
        <w:rPr>
          <w:rFonts w:ascii="Times New Roman" w:hAnsi="Times New Roman"/>
          <w:szCs w:val="21"/>
        </w:rPr>
        <w:t>条的约定处理。</w:t>
      </w:r>
    </w:p>
    <w:p>
      <w:pPr>
        <w:spacing w:line="360" w:lineRule="auto"/>
        <w:ind w:firstLine="420" w:firstLineChars="200"/>
        <w:rPr>
          <w:rFonts w:ascii="Times New Roman" w:hAnsi="Times New Roman"/>
          <w:szCs w:val="21"/>
        </w:rPr>
      </w:pPr>
      <w:r>
        <w:rPr>
          <w:rFonts w:ascii="Times New Roman" w:hAnsi="Times New Roman"/>
          <w:szCs w:val="21"/>
        </w:rPr>
        <w:t>3.3.2 委托人应在专用合同条款约定的时间之内，对监理人书面提出的事项作出书面答复；逾期没有做出答复的，视为已获得委托人的批准。</w:t>
      </w:r>
    </w:p>
    <w:p>
      <w:pPr>
        <w:pStyle w:val="3"/>
        <w:rPr>
          <w:rFonts w:ascii="Times New Roman" w:hAnsi="Times New Roman"/>
        </w:rPr>
      </w:pPr>
      <w:bookmarkStart w:id="446" w:name="_Toc1373"/>
      <w:bookmarkStart w:id="447" w:name="_Toc482188571"/>
      <w:r>
        <w:rPr>
          <w:rFonts w:ascii="Times New Roman" w:hAnsi="Times New Roman"/>
        </w:rPr>
        <w:t>4. 监理人义务</w:t>
      </w:r>
      <w:bookmarkEnd w:id="446"/>
      <w:bookmarkEnd w:id="447"/>
    </w:p>
    <w:p>
      <w:pPr>
        <w:pStyle w:val="4"/>
        <w:spacing w:line="240" w:lineRule="auto"/>
        <w:ind w:firstLine="137"/>
        <w:rPr>
          <w:rFonts w:ascii="Times New Roman" w:hAnsi="Times New Roman"/>
          <w:color w:val="000000"/>
        </w:rPr>
      </w:pPr>
      <w:bookmarkStart w:id="448" w:name="_Toc482188572"/>
      <w:bookmarkStart w:id="449" w:name="_Toc26061"/>
      <w:r>
        <w:rPr>
          <w:rFonts w:ascii="Times New Roman" w:hAnsi="Times New Roman"/>
          <w:color w:val="000000"/>
        </w:rPr>
        <w:t xml:space="preserve">4.1 </w:t>
      </w:r>
      <w:r>
        <w:rPr>
          <w:rFonts w:hint="eastAsia" w:ascii="Times New Roman" w:hAnsi="Times New Roman"/>
          <w:color w:val="000000"/>
        </w:rPr>
        <w:t>监理人的一般义务</w:t>
      </w:r>
      <w:bookmarkEnd w:id="448"/>
      <w:bookmarkEnd w:id="449"/>
    </w:p>
    <w:p>
      <w:pPr>
        <w:spacing w:line="360" w:lineRule="auto"/>
        <w:ind w:firstLine="422" w:firstLineChars="200"/>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pPr>
        <w:spacing w:line="360" w:lineRule="auto"/>
        <w:ind w:firstLine="420" w:firstLineChars="200"/>
        <w:rPr>
          <w:rFonts w:ascii="Times New Roman" w:hAnsi="Times New Roman"/>
          <w:szCs w:val="21"/>
        </w:rPr>
      </w:pPr>
      <w:r>
        <w:rPr>
          <w:rFonts w:ascii="Times New Roman" w:hAnsi="Times New Roman"/>
          <w:szCs w:val="21"/>
        </w:rPr>
        <w:t>监理人在履行合同过程中应遵守法律，并保证委托人免于承担因</w:t>
      </w:r>
      <w:bookmarkEnd w:id="439"/>
      <w:bookmarkEnd w:id="440"/>
      <w:bookmarkEnd w:id="441"/>
      <w:bookmarkEnd w:id="442"/>
      <w:bookmarkEnd w:id="443"/>
      <w:bookmarkEnd w:id="444"/>
      <w:bookmarkEnd w:id="445"/>
      <w:r>
        <w:rPr>
          <w:rFonts w:ascii="Times New Roman" w:hAnsi="Times New Roman"/>
          <w:szCs w:val="21"/>
        </w:rPr>
        <w:t>监理人</w:t>
      </w:r>
      <w:bookmarkStart w:id="450" w:name="_Toc370281731"/>
      <w:bookmarkStart w:id="451" w:name="_Toc247514065"/>
      <w:bookmarkStart w:id="452" w:name="_Toc385942927"/>
      <w:bookmarkStart w:id="453" w:name="_Toc300835063"/>
      <w:bookmarkStart w:id="454" w:name="_Toc247527666"/>
      <w:r>
        <w:rPr>
          <w:rFonts w:ascii="Times New Roman" w:hAnsi="Times New Roman"/>
          <w:szCs w:val="21"/>
        </w:rPr>
        <w:t>违反法律而引起的任何责任。</w:t>
      </w:r>
    </w:p>
    <w:bookmarkEnd w:id="450"/>
    <w:bookmarkEnd w:id="451"/>
    <w:bookmarkEnd w:id="452"/>
    <w:bookmarkEnd w:id="453"/>
    <w:bookmarkEnd w:id="454"/>
    <w:p>
      <w:pPr>
        <w:spacing w:line="360" w:lineRule="auto"/>
        <w:ind w:firstLine="422" w:firstLineChars="200"/>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pPr>
        <w:spacing w:line="360" w:lineRule="auto"/>
        <w:ind w:firstLine="420" w:firstLineChars="200"/>
        <w:rPr>
          <w:rFonts w:ascii="Times New Roman" w:hAnsi="Times New Roman"/>
          <w:szCs w:val="21"/>
        </w:rPr>
      </w:pPr>
      <w:r>
        <w:rPr>
          <w:rFonts w:ascii="Times New Roman" w:hAnsi="Times New Roman"/>
          <w:szCs w:val="21"/>
        </w:rPr>
        <w:t>监理人应按有关法律规定纳税，应缴纳的税金（含增值税）包括在合同价格之中。</w:t>
      </w:r>
    </w:p>
    <w:p>
      <w:pPr>
        <w:spacing w:line="360" w:lineRule="auto"/>
        <w:ind w:firstLine="422" w:firstLineChars="200"/>
        <w:rPr>
          <w:rFonts w:ascii="Times New Roman" w:hAnsi="Times New Roman"/>
          <w:b/>
          <w:szCs w:val="21"/>
        </w:rPr>
      </w:pPr>
      <w:r>
        <w:rPr>
          <w:rFonts w:ascii="Times New Roman" w:hAnsi="Times New Roman"/>
          <w:b/>
        </w:rPr>
        <w:t xml:space="preserve">4.1.3 </w:t>
      </w:r>
      <w:r>
        <w:rPr>
          <w:rFonts w:ascii="Times New Roman" w:hAnsi="Times New Roman"/>
          <w:b/>
          <w:szCs w:val="21"/>
        </w:rPr>
        <w:t>完成全部监理工作</w:t>
      </w:r>
    </w:p>
    <w:p>
      <w:pPr>
        <w:spacing w:line="360" w:lineRule="auto"/>
        <w:ind w:firstLine="420" w:firstLineChars="200"/>
        <w:rPr>
          <w:rFonts w:ascii="Times New Roman" w:hAnsi="Times New Roman"/>
          <w:szCs w:val="21"/>
        </w:rPr>
      </w:pPr>
      <w:r>
        <w:rPr>
          <w:rFonts w:ascii="Times New Roman" w:hAnsi="Times New Roman"/>
          <w:szCs w:val="21"/>
        </w:rPr>
        <w:t>监理人应按合同约定以及委托人要求，完成合同约定的全部工作，并对工作中的任何缺陷进行整改，使其满足合同约定的目的。</w:t>
      </w:r>
    </w:p>
    <w:p>
      <w:pPr>
        <w:spacing w:line="360" w:lineRule="auto"/>
        <w:ind w:firstLine="422" w:firstLineChars="200"/>
        <w:rPr>
          <w:rFonts w:ascii="Times New Roman" w:hAnsi="Times New Roman"/>
          <w:b/>
        </w:rPr>
      </w:pPr>
      <w:r>
        <w:rPr>
          <w:rFonts w:ascii="Times New Roman" w:hAnsi="Times New Roman"/>
          <w:b/>
        </w:rPr>
        <w:t>4.1.4 其他义务</w:t>
      </w:r>
    </w:p>
    <w:p>
      <w:pPr>
        <w:spacing w:line="360" w:lineRule="auto"/>
        <w:ind w:firstLine="420" w:firstLineChars="200"/>
        <w:rPr>
          <w:rFonts w:ascii="Times New Roman" w:hAnsi="Times New Roman"/>
        </w:rPr>
      </w:pPr>
      <w:r>
        <w:rPr>
          <w:rFonts w:ascii="Times New Roman" w:hAnsi="Times New Roman"/>
          <w:szCs w:val="21"/>
        </w:rPr>
        <w:t>监理人应履行合同约定的其他义务。</w:t>
      </w:r>
    </w:p>
    <w:p>
      <w:pPr>
        <w:pStyle w:val="4"/>
        <w:spacing w:line="240" w:lineRule="auto"/>
        <w:ind w:firstLine="137"/>
        <w:rPr>
          <w:rFonts w:ascii="Times New Roman" w:hAnsi="Times New Roman"/>
          <w:color w:val="000000"/>
        </w:rPr>
      </w:pPr>
      <w:bookmarkStart w:id="455" w:name="_Toc485303383"/>
      <w:bookmarkStart w:id="456" w:name="_Toc382920065"/>
      <w:bookmarkStart w:id="457" w:name="_Toc13239"/>
      <w:bookmarkStart w:id="458" w:name="_Toc8430"/>
      <w:bookmarkStart w:id="459" w:name="_Toc482188573"/>
      <w:bookmarkStart w:id="460" w:name="_Toc247527677"/>
      <w:bookmarkStart w:id="461" w:name="_Toc300835075"/>
      <w:bookmarkStart w:id="462" w:name="_Toc247514076"/>
      <w:bookmarkStart w:id="463" w:name="_Toc300835076"/>
      <w:r>
        <w:rPr>
          <w:rFonts w:ascii="Times New Roman" w:hAnsi="Times New Roman"/>
          <w:color w:val="000000"/>
        </w:rPr>
        <w:t xml:space="preserve">4.2 </w:t>
      </w:r>
      <w:r>
        <w:rPr>
          <w:rFonts w:hint="eastAsia" w:ascii="Times New Roman" w:hAnsi="Times New Roman"/>
          <w:color w:val="000000"/>
        </w:rPr>
        <w:t>履约保证金</w:t>
      </w:r>
      <w:bookmarkEnd w:id="455"/>
      <w:bookmarkEnd w:id="456"/>
      <w:bookmarkEnd w:id="457"/>
      <w:bookmarkEnd w:id="458"/>
    </w:p>
    <w:p>
      <w:pPr>
        <w:spacing w:line="360" w:lineRule="auto"/>
        <w:ind w:firstLine="420" w:firstLineChars="200"/>
        <w:rPr>
          <w:rFonts w:ascii="Times New Roman" w:hAnsi="Times New Roman"/>
          <w:szCs w:val="21"/>
        </w:rPr>
      </w:pPr>
      <w:r>
        <w:rPr>
          <w:rFonts w:ascii="Times New Roman" w:hAnsi="Times New Roman"/>
          <w:szCs w:val="21"/>
        </w:rPr>
        <w:t>除专用合同条款另有约定外，履约保证金自合同生效之日起生效，在委托人签发竣工验收证书之日起28日后失效。如果监理人不履行合同约定的义务或其履行不符合合同的约定，委托人有权扣划相应金额的履约保证金。</w:t>
      </w:r>
    </w:p>
    <w:bookmarkEnd w:id="459"/>
    <w:p>
      <w:pPr>
        <w:pStyle w:val="4"/>
        <w:spacing w:line="240" w:lineRule="auto"/>
        <w:ind w:firstLine="137"/>
        <w:rPr>
          <w:rFonts w:ascii="Times New Roman" w:hAnsi="Times New Roman"/>
          <w:color w:val="000000"/>
        </w:rPr>
      </w:pPr>
      <w:bookmarkStart w:id="464" w:name="_Toc482188574"/>
      <w:bookmarkStart w:id="465" w:name="_Toc28782"/>
      <w:r>
        <w:rPr>
          <w:rFonts w:ascii="Times New Roman" w:hAnsi="Times New Roman"/>
          <w:color w:val="000000"/>
        </w:rPr>
        <w:t xml:space="preserve">4.3 </w:t>
      </w:r>
      <w:r>
        <w:rPr>
          <w:rFonts w:hint="eastAsia" w:ascii="Times New Roman" w:hAnsi="Times New Roman"/>
          <w:color w:val="000000"/>
        </w:rPr>
        <w:t>联合体</w:t>
      </w:r>
      <w:bookmarkEnd w:id="464"/>
      <w:bookmarkEnd w:id="465"/>
    </w:p>
    <w:p>
      <w:pPr>
        <w:spacing w:line="360" w:lineRule="auto"/>
        <w:ind w:firstLine="420" w:firstLineChars="200"/>
        <w:rPr>
          <w:rFonts w:ascii="Times New Roman" w:hAnsi="Times New Roman"/>
          <w:szCs w:val="21"/>
        </w:rPr>
      </w:pPr>
      <w:r>
        <w:rPr>
          <w:rFonts w:ascii="Times New Roman" w:hAnsi="Times New Roman"/>
        </w:rPr>
        <w:t xml:space="preserve">4.3.1 </w:t>
      </w:r>
      <w:r>
        <w:rPr>
          <w:rFonts w:ascii="Times New Roman" w:hAnsi="Times New Roman"/>
          <w:szCs w:val="21"/>
        </w:rPr>
        <w:t>联合体各方应共同与委托人签订合同。联合体各方应为履行合同承担连带责任。</w:t>
      </w:r>
    </w:p>
    <w:p>
      <w:pPr>
        <w:spacing w:line="360" w:lineRule="auto"/>
        <w:ind w:firstLine="420" w:firstLineChars="200"/>
        <w:rPr>
          <w:rFonts w:ascii="Times New Roman" w:hAnsi="Times New Roman"/>
          <w:szCs w:val="21"/>
        </w:rPr>
      </w:pPr>
      <w:r>
        <w:rPr>
          <w:rFonts w:ascii="Times New Roman" w:hAnsi="Times New Roman"/>
        </w:rPr>
        <w:t>4.3.2</w:t>
      </w:r>
      <w:r>
        <w:rPr>
          <w:rFonts w:ascii="Times New Roman" w:hAnsi="Times New Roman"/>
          <w:szCs w:val="21"/>
        </w:rPr>
        <w:t xml:space="preserve"> 联合体协议经委托人确认后作为合同附件。在履行合同过程中，未经委托人同意，不得修改联合体协议。</w:t>
      </w:r>
    </w:p>
    <w:p>
      <w:pPr>
        <w:spacing w:line="360" w:lineRule="auto"/>
        <w:ind w:firstLine="420" w:firstLineChars="200"/>
        <w:rPr>
          <w:rFonts w:ascii="Times New Roman" w:hAnsi="Times New Roman"/>
          <w:szCs w:val="21"/>
        </w:rPr>
      </w:pPr>
      <w:r>
        <w:rPr>
          <w:rFonts w:ascii="Times New Roman" w:hAnsi="Times New Roman"/>
        </w:rPr>
        <w:t xml:space="preserve">4.3.3 </w:t>
      </w:r>
      <w:r>
        <w:rPr>
          <w:rFonts w:ascii="Times New Roman" w:hAnsi="Times New Roman"/>
          <w:szCs w:val="21"/>
        </w:rPr>
        <w:t>联合体牵头人或联合体授权的代表负责与委托人联系，并接受指示，负责组织联合体各成员全面履行合同。</w:t>
      </w:r>
    </w:p>
    <w:p>
      <w:pPr>
        <w:pStyle w:val="4"/>
        <w:spacing w:line="240" w:lineRule="auto"/>
        <w:ind w:firstLine="137"/>
        <w:rPr>
          <w:rFonts w:ascii="Times New Roman" w:hAnsi="Times New Roman"/>
          <w:color w:val="000000"/>
        </w:rPr>
      </w:pPr>
      <w:bookmarkStart w:id="466" w:name="_Toc482188575"/>
      <w:bookmarkStart w:id="467" w:name="_Toc31931"/>
      <w:r>
        <w:rPr>
          <w:rFonts w:ascii="Times New Roman" w:hAnsi="Times New Roman"/>
          <w:color w:val="000000"/>
        </w:rPr>
        <w:t xml:space="preserve">4.4 </w:t>
      </w:r>
      <w:bookmarkEnd w:id="466"/>
      <w:r>
        <w:rPr>
          <w:rFonts w:hint="eastAsia" w:ascii="Times New Roman" w:hAnsi="Times New Roman"/>
          <w:color w:val="000000"/>
        </w:rPr>
        <w:t>总监理工程师</w:t>
      </w:r>
      <w:bookmarkEnd w:id="467"/>
    </w:p>
    <w:p>
      <w:pPr>
        <w:spacing w:line="360" w:lineRule="auto"/>
        <w:ind w:firstLine="420" w:firstLineChars="200"/>
        <w:rPr>
          <w:rFonts w:ascii="Times New Roman" w:hAnsi="Times New Roman"/>
          <w:szCs w:val="21"/>
        </w:rPr>
      </w:pPr>
      <w:r>
        <w:rPr>
          <w:rFonts w:ascii="Times New Roman" w:hAnsi="Times New Roman"/>
        </w:rPr>
        <w:t>4.4.1</w:t>
      </w:r>
      <w:r>
        <w:rPr>
          <w:rFonts w:ascii="Times New Roman" w:hAnsi="Times New Roman"/>
          <w:szCs w:val="21"/>
        </w:rPr>
        <w:t xml:space="preserve"> 监理人应按合同协议书的约定指派总监理工程师，并在约定的期限内到职。监理人更换</w:t>
      </w:r>
      <w:bookmarkStart w:id="468" w:name="_Toc247527670"/>
      <w:bookmarkStart w:id="469" w:name="_Toc247514069"/>
      <w:bookmarkStart w:id="470" w:name="_Toc300835067"/>
      <w:r>
        <w:rPr>
          <w:rFonts w:ascii="Times New Roman" w:hAnsi="Times New Roman"/>
          <w:szCs w:val="21"/>
        </w:rPr>
        <w:t>总监理工程师应事先征得</w:t>
      </w:r>
      <w:bookmarkEnd w:id="468"/>
      <w:bookmarkEnd w:id="469"/>
      <w:bookmarkEnd w:id="470"/>
      <w:r>
        <w:rPr>
          <w:rFonts w:ascii="Times New Roman" w:hAnsi="Times New Roman"/>
          <w:szCs w:val="21"/>
        </w:rPr>
        <w:t>委托人同意，并应在更换14天前将拟更换的总监理工程师的姓名和详细资料提交委托人。总监理工程师2天内不能履行职责的，应事先征得委托人同意，并委派代表代行其职责。</w:t>
      </w:r>
    </w:p>
    <w:p>
      <w:pPr>
        <w:spacing w:line="360" w:lineRule="auto"/>
        <w:ind w:firstLine="420" w:firstLineChars="200"/>
        <w:rPr>
          <w:rFonts w:ascii="Times New Roman" w:hAnsi="Times New Roman"/>
          <w:szCs w:val="21"/>
        </w:rPr>
      </w:pPr>
      <w:r>
        <w:rPr>
          <w:rFonts w:ascii="Times New Roman" w:hAnsi="Times New Roman"/>
        </w:rPr>
        <w:t>4.4.2</w:t>
      </w:r>
      <w:r>
        <w:rPr>
          <w:rFonts w:ascii="Times New Roman" w:hAnsi="Times New Roman"/>
          <w:szCs w:val="21"/>
        </w:rPr>
        <w:t>总监理工程师应按合同约定以及委托人要求，负责组织合同工作的实施。在情况紧急且无法与委托人取得联系时，可采取保证工程和人员生命财产安全的紧急措施，并在采取措施后24小时内向委托人提交书面报告。</w:t>
      </w:r>
    </w:p>
    <w:p>
      <w:pPr>
        <w:spacing w:line="360" w:lineRule="auto"/>
        <w:ind w:firstLine="420" w:firstLineChars="200"/>
        <w:rPr>
          <w:rFonts w:ascii="Times New Roman" w:hAnsi="Times New Roman"/>
          <w:szCs w:val="21"/>
        </w:rPr>
      </w:pPr>
      <w:r>
        <w:rPr>
          <w:rFonts w:ascii="Times New Roman" w:hAnsi="Times New Roman"/>
        </w:rPr>
        <w:t>4.4.3</w:t>
      </w:r>
      <w:r>
        <w:rPr>
          <w:rFonts w:ascii="Times New Roman" w:hAnsi="Times New Roman"/>
          <w:szCs w:val="21"/>
        </w:rPr>
        <w:t xml:space="preserve"> 监理人为履行合同发出的一切函件均应盖有监理人单位章或由监理人授权的项目机构章，并由监理人的总监理工程师签字确认。</w:t>
      </w:r>
    </w:p>
    <w:p>
      <w:pPr>
        <w:spacing w:line="360" w:lineRule="auto"/>
        <w:ind w:firstLine="420" w:firstLineChars="200"/>
        <w:rPr>
          <w:rFonts w:ascii="Times New Roman" w:hAnsi="Times New Roman"/>
          <w:szCs w:val="21"/>
        </w:rPr>
      </w:pPr>
      <w:r>
        <w:rPr>
          <w:rFonts w:ascii="Times New Roman" w:hAnsi="Times New Roman"/>
        </w:rPr>
        <w:t>4.4.4</w:t>
      </w:r>
      <w:r>
        <w:rPr>
          <w:rFonts w:ascii="Times New Roman" w:hAnsi="Times New Roman"/>
          <w:szCs w:val="21"/>
        </w:rPr>
        <w:t xml:space="preserve"> 按照专用合同条款约定，总监理工程师可以授权其下属人员履行其某项职责，但事先应将这些人员的姓名和授权范围书面通知委托人和承包人。</w:t>
      </w:r>
    </w:p>
    <w:p>
      <w:pPr>
        <w:pStyle w:val="4"/>
        <w:spacing w:line="240" w:lineRule="auto"/>
        <w:ind w:firstLine="137"/>
        <w:rPr>
          <w:rFonts w:ascii="Times New Roman" w:hAnsi="Times New Roman"/>
          <w:color w:val="000000"/>
        </w:rPr>
      </w:pPr>
      <w:bookmarkStart w:id="471" w:name="_Toc12056"/>
      <w:bookmarkStart w:id="472" w:name="_Toc482188576"/>
      <w:r>
        <w:rPr>
          <w:rFonts w:ascii="Times New Roman" w:hAnsi="Times New Roman"/>
          <w:color w:val="000000"/>
        </w:rPr>
        <w:t xml:space="preserve">4.5 </w:t>
      </w:r>
      <w:r>
        <w:rPr>
          <w:rFonts w:hint="eastAsia" w:ascii="Times New Roman" w:hAnsi="Times New Roman"/>
          <w:color w:val="000000"/>
        </w:rPr>
        <w:t>监理人员的管理</w:t>
      </w:r>
      <w:bookmarkEnd w:id="471"/>
      <w:bookmarkEnd w:id="472"/>
    </w:p>
    <w:p>
      <w:pPr>
        <w:spacing w:line="360" w:lineRule="auto"/>
        <w:ind w:firstLine="420" w:firstLineChars="200"/>
        <w:rPr>
          <w:rFonts w:ascii="Times New Roman" w:hAnsi="Times New Roman"/>
          <w:szCs w:val="21"/>
        </w:rPr>
      </w:pPr>
      <w:r>
        <w:rPr>
          <w:rFonts w:ascii="Times New Roman" w:hAnsi="Times New Roman"/>
        </w:rPr>
        <w:t>4.5.1</w:t>
      </w:r>
      <w:r>
        <w:rPr>
          <w:rFonts w:ascii="Times New Roman" w:hAnsi="Times New Roman"/>
          <w:szCs w:val="21"/>
        </w:rPr>
        <w:t xml:space="preserve"> 监理人应在接到开始监理通知之日起7天内，向委托人提交监理项目机构以及</w:t>
      </w:r>
      <w:bookmarkStart w:id="473" w:name="_Toc247514070"/>
      <w:bookmarkStart w:id="474" w:name="_Toc300835068"/>
      <w:bookmarkStart w:id="475" w:name="_Toc247527671"/>
      <w:r>
        <w:rPr>
          <w:rFonts w:ascii="Times New Roman" w:hAnsi="Times New Roman"/>
          <w:szCs w:val="21"/>
        </w:rPr>
        <w:t>人员安排的报告，其内容应</w:t>
      </w:r>
      <w:bookmarkEnd w:id="473"/>
      <w:bookmarkEnd w:id="474"/>
      <w:bookmarkEnd w:id="475"/>
      <w:r>
        <w:rPr>
          <w:rFonts w:ascii="Times New Roman" w:hAnsi="Times New Roman"/>
          <w:szCs w:val="21"/>
        </w:rPr>
        <w:t>包括项目机构设置、主要监理人员和作业人员的名单及资格条件。主要监理人员应相对稳定，更换主要监理人员的，应取得委托人的同意,并向委托人提交继任人员的资格、管理经验等资料。总监理工程师的更换，应按照本章第4.4.1项规定执行。</w:t>
      </w:r>
    </w:p>
    <w:p>
      <w:pPr>
        <w:spacing w:line="360" w:lineRule="auto"/>
        <w:ind w:firstLine="420" w:firstLineChars="200"/>
        <w:rPr>
          <w:rFonts w:ascii="Times New Roman" w:hAnsi="Times New Roman"/>
          <w:szCs w:val="21"/>
        </w:rPr>
      </w:pPr>
      <w:r>
        <w:rPr>
          <w:rFonts w:ascii="Times New Roman" w:hAnsi="Times New Roman"/>
        </w:rPr>
        <w:t>4.5.2</w:t>
      </w:r>
      <w:r>
        <w:rPr>
          <w:rFonts w:hint="eastAsia" w:ascii="Times New Roman" w:hAnsi="Times New Roman"/>
        </w:rPr>
        <w:t>除专用合同条款另有约定外，</w:t>
      </w:r>
      <w:r>
        <w:rPr>
          <w:rFonts w:hint="eastAsia" w:ascii="Times New Roman" w:hAnsi="Times New Roman"/>
          <w:szCs w:val="21"/>
        </w:rPr>
        <w:t>主要监理人员包括总监理工程师、专业监理工程师等；其他人员包括各专业的监理员、资料员等。</w:t>
      </w:r>
    </w:p>
    <w:p>
      <w:pPr>
        <w:spacing w:line="360" w:lineRule="auto"/>
        <w:ind w:firstLine="420" w:firstLineChars="200"/>
        <w:rPr>
          <w:rFonts w:ascii="Times New Roman" w:hAnsi="Times New Roman"/>
          <w:szCs w:val="21"/>
        </w:rPr>
      </w:pPr>
      <w:r>
        <w:rPr>
          <w:rFonts w:ascii="Times New Roman" w:hAnsi="Times New Roman"/>
        </w:rPr>
        <w:t>4.5.3</w:t>
      </w:r>
      <w:r>
        <w:rPr>
          <w:rFonts w:ascii="Times New Roman" w:hAnsi="Times New Roman"/>
          <w:szCs w:val="21"/>
        </w:rPr>
        <w:t>监理人应保证其主要监理人员在合同期限内的任何时候，都能按时参加委托人组织的工作会议。</w:t>
      </w:r>
    </w:p>
    <w:p>
      <w:pPr>
        <w:spacing w:line="360" w:lineRule="auto"/>
        <w:ind w:firstLine="420" w:firstLineChars="200"/>
        <w:rPr>
          <w:rFonts w:ascii="Times New Roman" w:hAnsi="Times New Roman"/>
          <w:szCs w:val="21"/>
        </w:rPr>
      </w:pPr>
      <w:r>
        <w:rPr>
          <w:rFonts w:ascii="Times New Roman" w:hAnsi="Times New Roman"/>
        </w:rPr>
        <w:t xml:space="preserve">4.5.4 </w:t>
      </w:r>
      <w:r>
        <w:rPr>
          <w:rFonts w:ascii="Times New Roman" w:hAnsi="Times New Roman"/>
          <w:szCs w:val="21"/>
        </w:rPr>
        <w:t>国家规定应当持证上岗的工作人员均应持有相应的资格证明，委托人有权随时检查。委托人认为有必要时，可以进行现场考核。</w:t>
      </w:r>
    </w:p>
    <w:p>
      <w:pPr>
        <w:pStyle w:val="4"/>
        <w:spacing w:line="240" w:lineRule="auto"/>
        <w:ind w:firstLine="137"/>
        <w:rPr>
          <w:rFonts w:ascii="Times New Roman" w:hAnsi="Times New Roman"/>
          <w:color w:val="000000"/>
        </w:rPr>
      </w:pPr>
      <w:bookmarkStart w:id="476" w:name="_Toc31522"/>
      <w:bookmarkStart w:id="477" w:name="_Toc482188577"/>
      <w:r>
        <w:rPr>
          <w:rFonts w:ascii="Times New Roman" w:hAnsi="Times New Roman"/>
          <w:color w:val="000000"/>
        </w:rPr>
        <w:t xml:space="preserve">4.6 </w:t>
      </w:r>
      <w:r>
        <w:rPr>
          <w:rFonts w:hint="eastAsia" w:ascii="Times New Roman" w:hAnsi="Times New Roman"/>
          <w:color w:val="000000"/>
        </w:rPr>
        <w:t>撤换总监理工程师和其他人员</w:t>
      </w:r>
      <w:bookmarkEnd w:id="476"/>
      <w:bookmarkEnd w:id="477"/>
    </w:p>
    <w:p>
      <w:pPr>
        <w:spacing w:line="360" w:lineRule="auto"/>
        <w:ind w:firstLine="420" w:firstLineChars="200"/>
        <w:rPr>
          <w:rFonts w:ascii="Times New Roman" w:hAnsi="Times New Roman"/>
          <w:szCs w:val="21"/>
        </w:rPr>
      </w:pPr>
      <w:r>
        <w:rPr>
          <w:rFonts w:ascii="Times New Roman" w:hAnsi="Times New Roman"/>
          <w:szCs w:val="21"/>
        </w:rPr>
        <w:t>监理人应对其总监理工程师和其他人员进行有效管理。委托人要求撤换不能胜任本职工作、行</w:t>
      </w:r>
      <w:bookmarkStart w:id="478" w:name="_Toc247527672"/>
      <w:bookmarkStart w:id="479" w:name="_Toc300835069"/>
      <w:bookmarkStart w:id="480" w:name="_Toc247514071"/>
      <w:r>
        <w:rPr>
          <w:rFonts w:ascii="Times New Roman" w:hAnsi="Times New Roman"/>
          <w:szCs w:val="21"/>
        </w:rPr>
        <w:t>为不端或玩忽职守的总监理工程师和其</w:t>
      </w:r>
      <w:bookmarkEnd w:id="478"/>
      <w:bookmarkEnd w:id="479"/>
      <w:bookmarkEnd w:id="480"/>
      <w:r>
        <w:rPr>
          <w:rFonts w:ascii="Times New Roman" w:hAnsi="Times New Roman"/>
          <w:szCs w:val="21"/>
        </w:rPr>
        <w:t>他人员的，监理人应予以撤换。</w:t>
      </w:r>
    </w:p>
    <w:p>
      <w:pPr>
        <w:pStyle w:val="4"/>
        <w:spacing w:line="240" w:lineRule="auto"/>
        <w:ind w:firstLine="137"/>
        <w:rPr>
          <w:rFonts w:ascii="Times New Roman" w:hAnsi="Times New Roman"/>
          <w:color w:val="000000"/>
        </w:rPr>
      </w:pPr>
      <w:bookmarkStart w:id="481" w:name="_Toc482188578"/>
      <w:bookmarkStart w:id="482" w:name="_Toc29396"/>
      <w:r>
        <w:rPr>
          <w:rFonts w:ascii="Times New Roman" w:hAnsi="Times New Roman"/>
          <w:color w:val="000000"/>
        </w:rPr>
        <w:t xml:space="preserve">4.7 </w:t>
      </w:r>
      <w:r>
        <w:rPr>
          <w:rFonts w:hint="eastAsia" w:ascii="Times New Roman" w:hAnsi="Times New Roman"/>
          <w:color w:val="000000"/>
        </w:rPr>
        <w:t>保障人员的合法权益</w:t>
      </w:r>
      <w:bookmarkEnd w:id="481"/>
      <w:bookmarkEnd w:id="482"/>
    </w:p>
    <w:p>
      <w:pPr>
        <w:spacing w:line="360" w:lineRule="auto"/>
        <w:ind w:firstLine="420" w:firstLineChars="200"/>
        <w:rPr>
          <w:rFonts w:ascii="Times New Roman" w:hAnsi="Times New Roman"/>
          <w:szCs w:val="21"/>
        </w:rPr>
      </w:pPr>
      <w:r>
        <w:rPr>
          <w:rFonts w:ascii="Times New Roman" w:hAnsi="Times New Roman"/>
        </w:rPr>
        <w:t>4.7.1</w:t>
      </w:r>
      <w:r>
        <w:rPr>
          <w:rFonts w:ascii="Times New Roman" w:hAnsi="Times New Roman"/>
          <w:szCs w:val="21"/>
        </w:rPr>
        <w:t xml:space="preserve"> 监理人应与其雇佣的人员签订劳动合同，并按时发放工资。</w:t>
      </w:r>
    </w:p>
    <w:p>
      <w:pPr>
        <w:spacing w:line="360" w:lineRule="auto"/>
        <w:ind w:firstLine="420" w:firstLineChars="200"/>
        <w:rPr>
          <w:rFonts w:ascii="Times New Roman" w:hAnsi="Times New Roman"/>
          <w:szCs w:val="21"/>
        </w:rPr>
      </w:pPr>
      <w:r>
        <w:rPr>
          <w:rFonts w:ascii="Times New Roman" w:hAnsi="Times New Roman"/>
        </w:rPr>
        <w:t>4.7.2</w:t>
      </w:r>
      <w:r>
        <w:rPr>
          <w:rFonts w:ascii="Times New Roman" w:hAnsi="Times New Roman"/>
          <w:szCs w:val="21"/>
        </w:rPr>
        <w:t xml:space="preserve"> 监理人应</w:t>
      </w:r>
      <w:bookmarkStart w:id="483" w:name="_Toc247514072"/>
      <w:bookmarkStart w:id="484" w:name="_Toc300835070"/>
      <w:bookmarkStart w:id="485" w:name="_Toc247527673"/>
      <w:r>
        <w:rPr>
          <w:rFonts w:ascii="Times New Roman" w:hAnsi="Times New Roman"/>
          <w:szCs w:val="21"/>
        </w:rPr>
        <w:t>按劳动法的规定安排工作时间</w:t>
      </w:r>
      <w:bookmarkEnd w:id="483"/>
      <w:bookmarkEnd w:id="484"/>
      <w:bookmarkEnd w:id="485"/>
      <w:r>
        <w:rPr>
          <w:rFonts w:ascii="Times New Roman" w:hAnsi="Times New Roman"/>
          <w:szCs w:val="21"/>
        </w:rPr>
        <w:t>，保证其雇佣人员享有休息和休假的权利。因监理需要占用休假日或延长工作时间的，应不超过法律规定的限度，并按法律规定给予补休或付酬。</w:t>
      </w:r>
    </w:p>
    <w:p>
      <w:pPr>
        <w:spacing w:line="360" w:lineRule="auto"/>
        <w:ind w:firstLine="420" w:firstLineChars="200"/>
        <w:rPr>
          <w:rFonts w:ascii="Times New Roman" w:hAnsi="Times New Roman"/>
          <w:szCs w:val="21"/>
        </w:rPr>
      </w:pPr>
      <w:r>
        <w:rPr>
          <w:rFonts w:ascii="Times New Roman" w:hAnsi="Times New Roman"/>
        </w:rPr>
        <w:t>4.7.3</w:t>
      </w:r>
      <w:r>
        <w:rPr>
          <w:rFonts w:ascii="Times New Roman" w:hAnsi="Times New Roman"/>
          <w:szCs w:val="21"/>
        </w:rPr>
        <w:t xml:space="preserve"> 监理人应按有关法律规定和合同约定，为其雇佣人员办理保险。</w:t>
      </w:r>
    </w:p>
    <w:p>
      <w:pPr>
        <w:pStyle w:val="4"/>
        <w:spacing w:line="240" w:lineRule="auto"/>
        <w:ind w:firstLine="137"/>
        <w:rPr>
          <w:rFonts w:ascii="Times New Roman" w:hAnsi="Times New Roman"/>
          <w:color w:val="000000"/>
        </w:rPr>
      </w:pPr>
      <w:bookmarkStart w:id="486" w:name="_Toc482188579"/>
      <w:bookmarkStart w:id="487" w:name="_Toc10428"/>
      <w:r>
        <w:rPr>
          <w:rFonts w:ascii="Times New Roman" w:hAnsi="Times New Roman"/>
          <w:color w:val="000000"/>
        </w:rPr>
        <w:t xml:space="preserve">4.8 </w:t>
      </w:r>
      <w:r>
        <w:rPr>
          <w:rFonts w:hint="eastAsia" w:ascii="Times New Roman" w:hAnsi="Times New Roman"/>
          <w:color w:val="000000"/>
        </w:rPr>
        <w:t>合同价款应专款专用</w:t>
      </w:r>
      <w:bookmarkEnd w:id="486"/>
      <w:bookmarkEnd w:id="487"/>
    </w:p>
    <w:p>
      <w:pPr>
        <w:spacing w:line="360" w:lineRule="auto"/>
        <w:ind w:firstLine="420" w:firstLineChars="200"/>
        <w:rPr>
          <w:rFonts w:ascii="Times New Roman" w:hAnsi="Times New Roman"/>
          <w:szCs w:val="21"/>
        </w:rPr>
      </w:pPr>
      <w:r>
        <w:rPr>
          <w:rFonts w:ascii="Times New Roman" w:hAnsi="Times New Roman"/>
          <w:szCs w:val="21"/>
        </w:rPr>
        <w:t>委托人按合同约定支付给监理人的各项价款，应专用于合同监理工作。</w:t>
      </w:r>
    </w:p>
    <w:bookmarkEnd w:id="460"/>
    <w:bookmarkEnd w:id="461"/>
    <w:bookmarkEnd w:id="462"/>
    <w:p>
      <w:pPr>
        <w:pStyle w:val="3"/>
        <w:rPr>
          <w:rFonts w:ascii="Times New Roman" w:hAnsi="Times New Roman"/>
        </w:rPr>
      </w:pPr>
      <w:bookmarkStart w:id="488" w:name="_Toc24256"/>
      <w:bookmarkStart w:id="489" w:name="_Toc482188580"/>
      <w:r>
        <w:rPr>
          <w:rFonts w:ascii="Times New Roman" w:hAnsi="Times New Roman"/>
        </w:rPr>
        <w:t>5. 监理要求</w:t>
      </w:r>
      <w:bookmarkEnd w:id="488"/>
      <w:bookmarkEnd w:id="489"/>
    </w:p>
    <w:p>
      <w:pPr>
        <w:pStyle w:val="4"/>
        <w:spacing w:line="240" w:lineRule="auto"/>
        <w:ind w:firstLine="137"/>
        <w:rPr>
          <w:rFonts w:ascii="Times New Roman" w:hAnsi="Times New Roman"/>
          <w:color w:val="000000"/>
        </w:rPr>
      </w:pPr>
      <w:bookmarkStart w:id="490" w:name="_Toc26990"/>
      <w:bookmarkStart w:id="491" w:name="_Toc482188581"/>
      <w:r>
        <w:rPr>
          <w:rFonts w:ascii="Times New Roman" w:hAnsi="Times New Roman"/>
          <w:color w:val="000000"/>
        </w:rPr>
        <w:t xml:space="preserve">5.1 </w:t>
      </w:r>
      <w:r>
        <w:rPr>
          <w:rFonts w:hint="eastAsia" w:ascii="Times New Roman" w:hAnsi="Times New Roman"/>
          <w:color w:val="000000"/>
        </w:rPr>
        <w:t>监理范围</w:t>
      </w:r>
      <w:bookmarkEnd w:id="490"/>
    </w:p>
    <w:p>
      <w:pPr>
        <w:spacing w:line="360" w:lineRule="auto"/>
        <w:ind w:firstLine="420" w:firstLineChars="200"/>
        <w:rPr>
          <w:rFonts w:ascii="Times New Roman" w:hAnsi="Times New Roman"/>
          <w:szCs w:val="21"/>
        </w:rPr>
      </w:pPr>
      <w:r>
        <w:rPr>
          <w:rFonts w:ascii="Times New Roman" w:hAnsi="Times New Roman"/>
          <w:szCs w:val="21"/>
        </w:rPr>
        <w:t>5.1.1 本合同的监理范围包括工程范围、阶段范围和工作范围，具体监理范围应当根据三者之间的关联内容进行确定。</w:t>
      </w:r>
    </w:p>
    <w:p>
      <w:pPr>
        <w:spacing w:line="360" w:lineRule="auto"/>
        <w:ind w:firstLine="420" w:firstLineChars="200"/>
        <w:rPr>
          <w:rFonts w:ascii="Times New Roman" w:hAnsi="Times New Roman"/>
          <w:szCs w:val="21"/>
        </w:rPr>
      </w:pPr>
      <w:r>
        <w:rPr>
          <w:rFonts w:ascii="Times New Roman" w:hAnsi="Times New Roman"/>
          <w:szCs w:val="21"/>
        </w:rPr>
        <w:t>5.1.2 工程范围指所监理工程的建设内容，具体范围在专用合同条款中约定。</w:t>
      </w:r>
    </w:p>
    <w:p>
      <w:pPr>
        <w:spacing w:line="360" w:lineRule="auto"/>
        <w:ind w:firstLine="420" w:firstLineChars="200"/>
        <w:rPr>
          <w:rFonts w:ascii="Times New Roman" w:hAnsi="Times New Roman"/>
          <w:szCs w:val="21"/>
        </w:rPr>
      </w:pPr>
      <w:r>
        <w:rPr>
          <w:rFonts w:ascii="Times New Roman" w:hAnsi="Times New Roman"/>
          <w:szCs w:val="21"/>
        </w:rPr>
        <w:t>5.1.3 阶段范围指工程建设程序中的勘察阶段、设计阶段、施工阶段、缺陷责任期及保修阶段中的一个或者多个阶段，具体范围在专用合同条款中约定。</w:t>
      </w:r>
    </w:p>
    <w:p>
      <w:pPr>
        <w:spacing w:line="360" w:lineRule="auto"/>
        <w:ind w:firstLine="420" w:firstLineChars="200"/>
        <w:rPr>
          <w:rFonts w:ascii="Times New Roman" w:hAnsi="Times New Roman"/>
          <w:szCs w:val="21"/>
        </w:rPr>
      </w:pPr>
      <w:r>
        <w:rPr>
          <w:rFonts w:ascii="Times New Roman" w:hAnsi="Times New Roman"/>
          <w:szCs w:val="21"/>
        </w:rPr>
        <w:t>5.1.4 工作范围指监理工作中的</w:t>
      </w:r>
      <w:r>
        <w:rPr>
          <w:rFonts w:ascii="Times New Roman" w:hAnsi="Times New Roman"/>
        </w:rPr>
        <w:t>质量控制、进度控制、投资控制、合同管理、信息管理、组织协调和安全监理、环保监理中的一项或者多项工作，</w:t>
      </w:r>
      <w:r>
        <w:rPr>
          <w:rFonts w:ascii="Times New Roman" w:hAnsi="Times New Roman"/>
          <w:szCs w:val="21"/>
        </w:rPr>
        <w:t>具体范围在专用合同条款中约定。</w:t>
      </w:r>
    </w:p>
    <w:bookmarkEnd w:id="491"/>
    <w:p>
      <w:pPr>
        <w:pStyle w:val="4"/>
        <w:spacing w:line="240" w:lineRule="auto"/>
        <w:ind w:firstLine="137"/>
        <w:rPr>
          <w:rFonts w:ascii="Times New Roman" w:hAnsi="Times New Roman"/>
          <w:color w:val="000000"/>
        </w:rPr>
      </w:pPr>
      <w:bookmarkStart w:id="492" w:name="_Toc482188582"/>
      <w:bookmarkStart w:id="493" w:name="_Toc26467"/>
      <w:r>
        <w:rPr>
          <w:rFonts w:ascii="Times New Roman" w:hAnsi="Times New Roman"/>
          <w:color w:val="000000"/>
        </w:rPr>
        <w:t xml:space="preserve">5.2 </w:t>
      </w:r>
      <w:r>
        <w:rPr>
          <w:rFonts w:hint="eastAsia" w:ascii="Times New Roman" w:hAnsi="Times New Roman"/>
          <w:color w:val="000000"/>
        </w:rPr>
        <w:t>监理依据</w:t>
      </w:r>
      <w:bookmarkEnd w:id="492"/>
      <w:bookmarkEnd w:id="493"/>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除专用合同条款另有约定外，本工程的监理依据如下：</w:t>
      </w:r>
    </w:p>
    <w:p>
      <w:pPr>
        <w:spacing w:line="360" w:lineRule="auto"/>
        <w:ind w:firstLine="420" w:firstLineChars="200"/>
        <w:rPr>
          <w:rFonts w:ascii="Times New Roman" w:hAnsi="Times New Roman"/>
          <w:szCs w:val="21"/>
        </w:rPr>
      </w:pPr>
      <w:r>
        <w:rPr>
          <w:rFonts w:ascii="Times New Roman" w:hAnsi="Times New Roman"/>
          <w:szCs w:val="21"/>
        </w:rPr>
        <w:t>（1）适用的法律、行政法规及部门规章；</w:t>
      </w:r>
    </w:p>
    <w:p>
      <w:pPr>
        <w:spacing w:line="360" w:lineRule="auto"/>
        <w:ind w:firstLine="420" w:firstLineChars="200"/>
        <w:rPr>
          <w:rFonts w:ascii="Times New Roman" w:hAnsi="Times New Roman"/>
          <w:szCs w:val="21"/>
        </w:rPr>
      </w:pPr>
      <w:r>
        <w:rPr>
          <w:rFonts w:ascii="Times New Roman" w:hAnsi="Times New Roman"/>
          <w:szCs w:val="21"/>
        </w:rPr>
        <w:t>（2）与工程有关的规范、标准、规程；</w:t>
      </w:r>
    </w:p>
    <w:p>
      <w:pPr>
        <w:spacing w:line="360" w:lineRule="auto"/>
        <w:ind w:firstLine="420" w:firstLineChars="200"/>
        <w:rPr>
          <w:rFonts w:ascii="Times New Roman" w:hAnsi="Times New Roman"/>
          <w:szCs w:val="21"/>
        </w:rPr>
      </w:pPr>
      <w:r>
        <w:rPr>
          <w:rFonts w:ascii="Times New Roman" w:hAnsi="Times New Roman"/>
          <w:szCs w:val="21"/>
        </w:rPr>
        <w:t>（3）工程勘察文件、设计文件及其他文件；</w:t>
      </w:r>
    </w:p>
    <w:p>
      <w:pPr>
        <w:spacing w:line="360" w:lineRule="auto"/>
        <w:ind w:firstLine="420" w:firstLineChars="200"/>
        <w:rPr>
          <w:rFonts w:ascii="Times New Roman" w:hAnsi="Times New Roman"/>
          <w:szCs w:val="21"/>
        </w:rPr>
      </w:pPr>
      <w:r>
        <w:rPr>
          <w:rFonts w:ascii="Times New Roman" w:hAnsi="Times New Roman"/>
          <w:szCs w:val="21"/>
        </w:rPr>
        <w:t>（4）本工程监理的委托合同及补充合同；</w:t>
      </w:r>
    </w:p>
    <w:p>
      <w:pPr>
        <w:spacing w:line="360" w:lineRule="auto"/>
        <w:ind w:firstLine="420" w:firstLineChars="200"/>
        <w:rPr>
          <w:rFonts w:ascii="Times New Roman" w:hAnsi="Times New Roman"/>
          <w:szCs w:val="21"/>
        </w:rPr>
      </w:pPr>
      <w:r>
        <w:rPr>
          <w:rFonts w:ascii="Times New Roman" w:hAnsi="Times New Roman"/>
          <w:szCs w:val="21"/>
        </w:rPr>
        <w:t>（5）委托人签订的勘察、设计和施工承包合同；</w:t>
      </w:r>
    </w:p>
    <w:p>
      <w:pPr>
        <w:spacing w:line="360" w:lineRule="auto"/>
        <w:ind w:firstLine="420" w:firstLineChars="200"/>
        <w:rPr>
          <w:rFonts w:ascii="Times New Roman" w:hAnsi="Times New Roman"/>
          <w:szCs w:val="21"/>
        </w:rPr>
      </w:pPr>
      <w:r>
        <w:rPr>
          <w:rFonts w:ascii="Times New Roman" w:hAnsi="Times New Roman"/>
          <w:szCs w:val="21"/>
        </w:rPr>
        <w:t>（6）合同履行中与监理服务有关的来往函件；</w:t>
      </w:r>
    </w:p>
    <w:p>
      <w:pPr>
        <w:spacing w:line="360" w:lineRule="auto"/>
        <w:ind w:firstLine="420" w:firstLineChars="200"/>
        <w:rPr>
          <w:rFonts w:ascii="Times New Roman" w:hAnsi="Times New Roman"/>
          <w:szCs w:val="21"/>
        </w:rPr>
      </w:pPr>
      <w:r>
        <w:rPr>
          <w:rFonts w:ascii="Times New Roman" w:hAnsi="Times New Roman"/>
          <w:szCs w:val="21"/>
        </w:rPr>
        <w:t>（7）其他监理依据。</w:t>
      </w:r>
    </w:p>
    <w:p>
      <w:pPr>
        <w:pStyle w:val="4"/>
        <w:spacing w:line="240" w:lineRule="auto"/>
        <w:ind w:firstLine="137"/>
        <w:rPr>
          <w:rFonts w:ascii="Times New Roman" w:hAnsi="Times New Roman"/>
          <w:color w:val="000000"/>
        </w:rPr>
      </w:pPr>
      <w:bookmarkStart w:id="494" w:name="_Toc26362"/>
      <w:bookmarkStart w:id="495" w:name="_Toc482188583"/>
      <w:r>
        <w:rPr>
          <w:rFonts w:ascii="Times New Roman" w:hAnsi="Times New Roman"/>
          <w:color w:val="000000"/>
        </w:rPr>
        <w:t xml:space="preserve">5.3 </w:t>
      </w:r>
      <w:r>
        <w:rPr>
          <w:rFonts w:hint="eastAsia" w:ascii="Times New Roman" w:hAnsi="Times New Roman"/>
          <w:color w:val="000000"/>
        </w:rPr>
        <w:t>监理内容</w:t>
      </w:r>
      <w:bookmarkEnd w:id="494"/>
      <w:bookmarkEnd w:id="495"/>
    </w:p>
    <w:p>
      <w:pPr>
        <w:spacing w:line="360" w:lineRule="auto"/>
        <w:ind w:firstLine="420" w:firstLineChars="200"/>
        <w:rPr>
          <w:rFonts w:ascii="Times New Roman" w:hAnsi="Times New Roman"/>
        </w:rPr>
      </w:pPr>
      <w:r>
        <w:rPr>
          <w:rFonts w:ascii="Times New Roman" w:hAnsi="Times New Roman"/>
        </w:rPr>
        <w:t>除专用条件另有约定外，监理工作内容包括：</w:t>
      </w:r>
    </w:p>
    <w:p>
      <w:pPr>
        <w:spacing w:line="360" w:lineRule="auto"/>
        <w:ind w:firstLine="420" w:firstLineChars="200"/>
        <w:rPr>
          <w:rFonts w:ascii="Times New Roman" w:hAnsi="Times New Roman"/>
        </w:rPr>
      </w:pPr>
      <w:r>
        <w:rPr>
          <w:rFonts w:ascii="Times New Roman" w:hAnsi="Times New Roman"/>
        </w:rPr>
        <w:t>（1）收到工程设计文件后编制监理规划，并在第一次工地会议7天前报委托人。根据有关规定和监理工作需要，编制监理实施细则；</w:t>
      </w:r>
    </w:p>
    <w:p>
      <w:pPr>
        <w:spacing w:line="360" w:lineRule="auto"/>
        <w:ind w:firstLine="420" w:firstLineChars="200"/>
        <w:rPr>
          <w:rFonts w:ascii="Times New Roman" w:hAnsi="Times New Roman"/>
        </w:rPr>
      </w:pPr>
      <w:r>
        <w:rPr>
          <w:rFonts w:ascii="Times New Roman" w:hAnsi="Times New Roman"/>
        </w:rPr>
        <w:t>（2）熟悉工程设计文件，并参加由委托人主持的图纸会审和设计交底会议；</w:t>
      </w:r>
    </w:p>
    <w:p>
      <w:pPr>
        <w:spacing w:line="360" w:lineRule="auto"/>
        <w:ind w:firstLine="420" w:firstLineChars="200"/>
        <w:rPr>
          <w:rFonts w:ascii="Times New Roman" w:hAnsi="Times New Roman"/>
        </w:rPr>
      </w:pPr>
      <w:r>
        <w:rPr>
          <w:rFonts w:ascii="Times New Roman" w:hAnsi="Times New Roman"/>
        </w:rPr>
        <w:t>（3）参加由委托人主持的第一次工地会议；主持监理例会并根据工程需要主持或参加专题会议；</w:t>
      </w:r>
    </w:p>
    <w:p>
      <w:pPr>
        <w:spacing w:line="360" w:lineRule="auto"/>
        <w:ind w:firstLine="420" w:firstLineChars="200"/>
        <w:rPr>
          <w:rFonts w:ascii="Times New Roman" w:hAnsi="Times New Roman"/>
        </w:rPr>
      </w:pPr>
      <w:r>
        <w:rPr>
          <w:rFonts w:ascii="Times New Roman" w:hAnsi="Times New Roman"/>
        </w:rPr>
        <w:t>（4）审查施工承包人提交的施工组织设计，重点审查其中的质量安全技术措施、专项施工方案与工程建设强制性标准的符合性；</w:t>
      </w:r>
    </w:p>
    <w:p>
      <w:pPr>
        <w:spacing w:line="360" w:lineRule="auto"/>
        <w:ind w:firstLine="420" w:firstLineChars="200"/>
        <w:rPr>
          <w:rFonts w:ascii="Times New Roman" w:hAnsi="Times New Roman"/>
        </w:rPr>
      </w:pPr>
      <w:r>
        <w:rPr>
          <w:rFonts w:ascii="Times New Roman" w:hAnsi="Times New Roman"/>
        </w:rPr>
        <w:t>（5）检查施工承包人工程质量、安全生产管理制度及组织机构和人员资格；</w:t>
      </w:r>
    </w:p>
    <w:p>
      <w:pPr>
        <w:spacing w:line="360" w:lineRule="auto"/>
        <w:ind w:firstLine="420" w:firstLineChars="200"/>
        <w:rPr>
          <w:rFonts w:ascii="Times New Roman" w:hAnsi="Times New Roman"/>
        </w:rPr>
      </w:pPr>
      <w:r>
        <w:rPr>
          <w:rFonts w:ascii="Times New Roman" w:hAnsi="Times New Roman"/>
        </w:rPr>
        <w:t>（6）检查施工承包人专职安全生产管理人员的配备情况；</w:t>
      </w:r>
    </w:p>
    <w:p>
      <w:pPr>
        <w:spacing w:line="360" w:lineRule="auto"/>
        <w:ind w:firstLine="420" w:firstLineChars="200"/>
        <w:rPr>
          <w:rFonts w:ascii="Times New Roman" w:hAnsi="Times New Roman"/>
        </w:rPr>
      </w:pPr>
      <w:r>
        <w:rPr>
          <w:rFonts w:ascii="Times New Roman" w:hAnsi="Times New Roman"/>
        </w:rPr>
        <w:t>（7）审查施工承包人提交的施工进度计划，核查承包人对施工进度计划的调整；</w:t>
      </w:r>
    </w:p>
    <w:p>
      <w:pPr>
        <w:spacing w:line="360" w:lineRule="auto"/>
        <w:ind w:firstLine="420" w:firstLineChars="200"/>
        <w:rPr>
          <w:rFonts w:ascii="Times New Roman" w:hAnsi="Times New Roman"/>
        </w:rPr>
      </w:pPr>
      <w:r>
        <w:rPr>
          <w:rFonts w:ascii="Times New Roman" w:hAnsi="Times New Roman"/>
        </w:rPr>
        <w:t>（8）检查施工承包人的试验室；</w:t>
      </w:r>
    </w:p>
    <w:p>
      <w:pPr>
        <w:spacing w:line="360" w:lineRule="auto"/>
        <w:ind w:firstLine="420" w:firstLineChars="200"/>
        <w:rPr>
          <w:rFonts w:ascii="Times New Roman" w:hAnsi="Times New Roman"/>
        </w:rPr>
      </w:pPr>
      <w:r>
        <w:rPr>
          <w:rFonts w:ascii="Times New Roman" w:hAnsi="Times New Roman"/>
        </w:rPr>
        <w:t>（9）审核施工分包人资质条件；</w:t>
      </w:r>
    </w:p>
    <w:p>
      <w:pPr>
        <w:spacing w:line="360" w:lineRule="auto"/>
        <w:ind w:firstLine="420" w:firstLineChars="200"/>
        <w:rPr>
          <w:rFonts w:ascii="Times New Roman" w:hAnsi="Times New Roman"/>
        </w:rPr>
      </w:pPr>
      <w:r>
        <w:rPr>
          <w:rFonts w:ascii="Times New Roman" w:hAnsi="Times New Roman"/>
        </w:rPr>
        <w:t>（10）查验施工承包人的施工测量放线成果；</w:t>
      </w:r>
    </w:p>
    <w:p>
      <w:pPr>
        <w:spacing w:line="360" w:lineRule="auto"/>
        <w:ind w:firstLine="420" w:firstLineChars="200"/>
        <w:rPr>
          <w:rFonts w:ascii="Times New Roman" w:hAnsi="Times New Roman"/>
        </w:rPr>
      </w:pPr>
      <w:r>
        <w:rPr>
          <w:rFonts w:ascii="Times New Roman" w:hAnsi="Times New Roman"/>
        </w:rPr>
        <w:t>（11）审查工程开工条件，对条件具备的签发开工令；</w:t>
      </w:r>
    </w:p>
    <w:p>
      <w:pPr>
        <w:spacing w:line="360" w:lineRule="auto"/>
        <w:ind w:firstLine="420" w:firstLineChars="200"/>
        <w:rPr>
          <w:rFonts w:ascii="Times New Roman" w:hAnsi="Times New Roman"/>
        </w:rPr>
      </w:pPr>
      <w:r>
        <w:rPr>
          <w:rFonts w:ascii="Times New Roman" w:hAnsi="Times New Roman"/>
        </w:rPr>
        <w:t>（12）审查施工承包人报送的工程材料、构配件、设备质量证明文件的有效性和符合性，并按规定对用于工程的材料采取平行检验或见证取样方式进行抽检；</w:t>
      </w:r>
    </w:p>
    <w:p>
      <w:pPr>
        <w:spacing w:line="360" w:lineRule="auto"/>
        <w:ind w:firstLine="420" w:firstLineChars="200"/>
        <w:rPr>
          <w:rFonts w:ascii="Times New Roman" w:hAnsi="Times New Roman"/>
        </w:rPr>
      </w:pPr>
      <w:r>
        <w:rPr>
          <w:rFonts w:ascii="Times New Roman" w:hAnsi="Times New Roman"/>
        </w:rPr>
        <w:t>（13）审核施工承包人提交的工程款支付申请，签发或出具工程款支付证书，并报委托人审核、批准；</w:t>
      </w:r>
    </w:p>
    <w:p>
      <w:pPr>
        <w:spacing w:line="360" w:lineRule="auto"/>
        <w:ind w:firstLine="420" w:firstLineChars="200"/>
        <w:rPr>
          <w:rFonts w:ascii="Times New Roman" w:hAnsi="Times New Roman"/>
        </w:rPr>
      </w:pPr>
      <w:r>
        <w:rPr>
          <w:rFonts w:ascii="Times New Roman" w:hAnsi="Times New Roman"/>
        </w:rPr>
        <w:t>（14）在巡视、旁站和检验过程中，发现工程质量、施工安全存在事故隐患的，要求施工承包人整改并报委托人；</w:t>
      </w:r>
    </w:p>
    <w:p>
      <w:pPr>
        <w:spacing w:line="360" w:lineRule="auto"/>
        <w:ind w:firstLine="420" w:firstLineChars="200"/>
        <w:rPr>
          <w:rFonts w:ascii="Times New Roman" w:hAnsi="Times New Roman"/>
        </w:rPr>
      </w:pPr>
      <w:r>
        <w:rPr>
          <w:rFonts w:ascii="Times New Roman" w:hAnsi="Times New Roman"/>
        </w:rPr>
        <w:t>（15）经委托人同意，签发工程暂停令和复工令；</w:t>
      </w:r>
    </w:p>
    <w:p>
      <w:pPr>
        <w:spacing w:line="360" w:lineRule="auto"/>
        <w:ind w:firstLine="420" w:firstLineChars="200"/>
        <w:rPr>
          <w:rFonts w:ascii="Times New Roman" w:hAnsi="Times New Roman"/>
        </w:rPr>
      </w:pPr>
      <w:r>
        <w:rPr>
          <w:rFonts w:ascii="Times New Roman" w:hAnsi="Times New Roman"/>
        </w:rPr>
        <w:t>（16）审查施工承包人提交的采用新材料、新工艺、新技术、新设备的论证材料及相关验收标准；</w:t>
      </w:r>
    </w:p>
    <w:p>
      <w:pPr>
        <w:spacing w:line="360" w:lineRule="auto"/>
        <w:ind w:firstLine="420" w:firstLineChars="200"/>
        <w:rPr>
          <w:rFonts w:ascii="Times New Roman" w:hAnsi="Times New Roman"/>
        </w:rPr>
      </w:pPr>
      <w:r>
        <w:rPr>
          <w:rFonts w:ascii="Times New Roman" w:hAnsi="Times New Roman"/>
        </w:rPr>
        <w:t>（17）验收隐蔽工程、分部分项工程；</w:t>
      </w:r>
    </w:p>
    <w:p>
      <w:pPr>
        <w:spacing w:line="360" w:lineRule="auto"/>
        <w:ind w:firstLine="420" w:firstLineChars="200"/>
        <w:rPr>
          <w:rFonts w:ascii="Times New Roman" w:hAnsi="Times New Roman"/>
        </w:rPr>
      </w:pPr>
      <w:r>
        <w:rPr>
          <w:rFonts w:ascii="Times New Roman" w:hAnsi="Times New Roman"/>
        </w:rPr>
        <w:t>（18）审查施工承包人提交的工程变更申请，协调处理施工进度调整、费用索赔、合同争议等事项；</w:t>
      </w:r>
    </w:p>
    <w:p>
      <w:pPr>
        <w:spacing w:line="360" w:lineRule="auto"/>
        <w:ind w:firstLine="420" w:firstLineChars="200"/>
        <w:rPr>
          <w:rFonts w:ascii="Times New Roman" w:hAnsi="Times New Roman"/>
        </w:rPr>
      </w:pPr>
      <w:r>
        <w:rPr>
          <w:rFonts w:ascii="Times New Roman" w:hAnsi="Times New Roman"/>
        </w:rPr>
        <w:t>（19）审查施工承包人提交的竣工验收申请，编写工程质量评估报告；</w:t>
      </w:r>
    </w:p>
    <w:p>
      <w:pPr>
        <w:spacing w:line="360" w:lineRule="auto"/>
        <w:ind w:firstLine="420" w:firstLineChars="200"/>
        <w:rPr>
          <w:rFonts w:ascii="Times New Roman" w:hAnsi="Times New Roman"/>
        </w:rPr>
      </w:pPr>
      <w:r>
        <w:rPr>
          <w:rFonts w:ascii="Times New Roman" w:hAnsi="Times New Roman"/>
        </w:rPr>
        <w:t>（20）参加工程竣工验收，签署竣工验收意见；</w:t>
      </w:r>
    </w:p>
    <w:p>
      <w:pPr>
        <w:spacing w:line="360" w:lineRule="auto"/>
        <w:ind w:firstLine="420" w:firstLineChars="200"/>
        <w:rPr>
          <w:rFonts w:ascii="Times New Roman" w:hAnsi="Times New Roman"/>
        </w:rPr>
      </w:pPr>
      <w:r>
        <w:rPr>
          <w:rFonts w:ascii="Times New Roman" w:hAnsi="Times New Roman"/>
        </w:rPr>
        <w:t>（21）审查施工承包人提交的竣工结算申请并报委托人；</w:t>
      </w:r>
    </w:p>
    <w:p>
      <w:pPr>
        <w:spacing w:line="360" w:lineRule="auto"/>
        <w:ind w:firstLine="420" w:firstLineChars="200"/>
        <w:rPr>
          <w:rFonts w:ascii="Times New Roman" w:hAnsi="Times New Roman"/>
        </w:rPr>
      </w:pPr>
      <w:r>
        <w:rPr>
          <w:rFonts w:ascii="Times New Roman" w:hAnsi="Times New Roman"/>
        </w:rPr>
        <w:t>（22）编制、整理工程监理归档文件并报委托人。</w:t>
      </w:r>
    </w:p>
    <w:p>
      <w:pPr>
        <w:pStyle w:val="4"/>
        <w:spacing w:line="240" w:lineRule="auto"/>
        <w:ind w:firstLine="137"/>
        <w:rPr>
          <w:rFonts w:ascii="Times New Roman" w:hAnsi="Times New Roman"/>
          <w:color w:val="000000"/>
        </w:rPr>
      </w:pPr>
      <w:bookmarkStart w:id="496" w:name="_Toc16770"/>
      <w:r>
        <w:rPr>
          <w:rFonts w:ascii="Times New Roman" w:hAnsi="Times New Roman"/>
          <w:color w:val="000000"/>
        </w:rPr>
        <w:t xml:space="preserve">5.4 </w:t>
      </w:r>
      <w:r>
        <w:rPr>
          <w:rFonts w:hint="eastAsia" w:ascii="Times New Roman" w:hAnsi="Times New Roman"/>
          <w:color w:val="000000"/>
        </w:rPr>
        <w:t>监理文件要求</w:t>
      </w:r>
      <w:bookmarkEnd w:id="496"/>
    </w:p>
    <w:p>
      <w:pPr>
        <w:spacing w:line="360" w:lineRule="auto"/>
        <w:ind w:firstLine="420" w:firstLineChars="200"/>
        <w:rPr>
          <w:rFonts w:ascii="Times New Roman" w:hAnsi="Times New Roman"/>
          <w:szCs w:val="21"/>
        </w:rPr>
      </w:pPr>
      <w:r>
        <w:rPr>
          <w:rFonts w:ascii="Times New Roman" w:hAnsi="Times New Roman"/>
          <w:szCs w:val="21"/>
        </w:rPr>
        <w:t>5.4.1 监理文件的编制应符合法律、规范标准的强制性规定和委托人要求，相关的监理依据应当完整准确，文件内容和相应数据应当真实可靠。</w:t>
      </w:r>
    </w:p>
    <w:p>
      <w:pPr>
        <w:spacing w:line="360" w:lineRule="auto"/>
        <w:ind w:firstLine="420" w:firstLineChars="200"/>
        <w:rPr>
          <w:rFonts w:ascii="Times New Roman" w:hAnsi="Times New Roman"/>
          <w:szCs w:val="21"/>
        </w:rPr>
      </w:pPr>
      <w:r>
        <w:rPr>
          <w:rFonts w:ascii="Times New Roman" w:hAnsi="Times New Roman"/>
          <w:szCs w:val="21"/>
        </w:rPr>
        <w:t>5.4.2 监理文件的深度应满足本阶段相应监理工作的规定要求，满足委托人的下步工作需要，并应符合国家和行业现行规定。</w:t>
      </w:r>
    </w:p>
    <w:p>
      <w:pPr>
        <w:spacing w:line="360" w:lineRule="auto"/>
        <w:ind w:firstLine="420" w:firstLineChars="200"/>
        <w:rPr>
          <w:rFonts w:ascii="Times New Roman" w:hAnsi="Times New Roman"/>
          <w:szCs w:val="21"/>
        </w:rPr>
      </w:pPr>
      <w:r>
        <w:rPr>
          <w:rFonts w:ascii="Times New Roman" w:hAnsi="Times New Roman"/>
          <w:szCs w:val="21"/>
        </w:rPr>
        <w:t>5.4.3本工程监理文件的具体类别、编制要求、编制内容、提交时间和份数等，在专用合同条款中约定。</w:t>
      </w:r>
    </w:p>
    <w:bookmarkEnd w:id="463"/>
    <w:p>
      <w:pPr>
        <w:pStyle w:val="3"/>
        <w:rPr>
          <w:rFonts w:ascii="Times New Roman" w:hAnsi="Times New Roman"/>
        </w:rPr>
      </w:pPr>
      <w:bookmarkStart w:id="497" w:name="_Toc482188591"/>
      <w:bookmarkStart w:id="498" w:name="_Toc5357"/>
      <w:r>
        <w:rPr>
          <w:rFonts w:ascii="Times New Roman" w:hAnsi="Times New Roman"/>
        </w:rPr>
        <w:t>6. 开始监理和完成</w:t>
      </w:r>
      <w:bookmarkEnd w:id="497"/>
      <w:r>
        <w:rPr>
          <w:rFonts w:ascii="Times New Roman" w:hAnsi="Times New Roman"/>
        </w:rPr>
        <w:t>监理</w:t>
      </w:r>
      <w:bookmarkEnd w:id="498"/>
    </w:p>
    <w:p>
      <w:pPr>
        <w:pStyle w:val="4"/>
        <w:spacing w:line="240" w:lineRule="auto"/>
        <w:ind w:firstLine="137"/>
        <w:rPr>
          <w:rFonts w:ascii="Times New Roman" w:hAnsi="Times New Roman"/>
          <w:color w:val="000000"/>
        </w:rPr>
      </w:pPr>
      <w:bookmarkStart w:id="499" w:name="_Toc482188592"/>
      <w:bookmarkStart w:id="500" w:name="_Toc25811"/>
      <w:r>
        <w:rPr>
          <w:rFonts w:ascii="Times New Roman" w:hAnsi="Times New Roman"/>
          <w:color w:val="000000"/>
        </w:rPr>
        <w:t xml:space="preserve">6.1 </w:t>
      </w:r>
      <w:r>
        <w:rPr>
          <w:rFonts w:hint="eastAsia" w:ascii="Times New Roman" w:hAnsi="Times New Roman"/>
          <w:color w:val="000000"/>
        </w:rPr>
        <w:t>开始</w:t>
      </w:r>
      <w:bookmarkEnd w:id="499"/>
      <w:r>
        <w:rPr>
          <w:rFonts w:hint="eastAsia" w:ascii="Times New Roman" w:hAnsi="Times New Roman"/>
          <w:color w:val="000000"/>
        </w:rPr>
        <w:t>监理</w:t>
      </w:r>
      <w:bookmarkEnd w:id="500"/>
    </w:p>
    <w:p>
      <w:pPr>
        <w:spacing w:line="360" w:lineRule="auto"/>
        <w:ind w:firstLine="420" w:firstLineChars="200"/>
        <w:rPr>
          <w:rFonts w:ascii="Times New Roman" w:hAnsi="Times New Roman"/>
          <w:szCs w:val="21"/>
        </w:rPr>
      </w:pPr>
      <w:r>
        <w:rPr>
          <w:rFonts w:ascii="Times New Roman" w:hAnsi="Times New Roman"/>
          <w:szCs w:val="21"/>
        </w:rPr>
        <w:t>6.1.1符合专用合同条款约定的开始监理条件的，委托人应提前7</w:t>
      </w:r>
      <w:bookmarkStart w:id="501" w:name="_Toc247527715"/>
      <w:bookmarkStart w:id="502" w:name="_Toc300835117"/>
      <w:bookmarkStart w:id="503" w:name="_Toc247514114"/>
      <w:bookmarkStart w:id="504" w:name="_Toc184635108"/>
      <w:r>
        <w:rPr>
          <w:rFonts w:ascii="Times New Roman" w:hAnsi="Times New Roman"/>
          <w:szCs w:val="21"/>
        </w:rPr>
        <w:t>天向监理人发出开始</w:t>
      </w:r>
      <w:bookmarkEnd w:id="501"/>
      <w:bookmarkEnd w:id="502"/>
      <w:bookmarkEnd w:id="503"/>
      <w:bookmarkEnd w:id="504"/>
      <w:r>
        <w:rPr>
          <w:rFonts w:ascii="Times New Roman" w:hAnsi="Times New Roman"/>
          <w:szCs w:val="21"/>
        </w:rPr>
        <w:t>监理通知。</w:t>
      </w:r>
      <w:bookmarkStart w:id="505" w:name="_Toc300835118"/>
      <w:bookmarkStart w:id="506" w:name="_Toc247527716"/>
      <w:bookmarkStart w:id="507" w:name="_Toc247514115"/>
      <w:bookmarkStart w:id="508" w:name="_Toc247514117"/>
      <w:bookmarkStart w:id="509" w:name="_Toc247527718"/>
      <w:bookmarkStart w:id="510" w:name="_Toc300835120"/>
      <w:r>
        <w:rPr>
          <w:rFonts w:ascii="Times New Roman" w:hAnsi="Times New Roman"/>
          <w:szCs w:val="21"/>
        </w:rPr>
        <w:t>监理服务期限自开始</w:t>
      </w:r>
      <w:bookmarkEnd w:id="505"/>
      <w:bookmarkEnd w:id="506"/>
      <w:bookmarkEnd w:id="507"/>
      <w:r>
        <w:rPr>
          <w:rFonts w:ascii="Times New Roman" w:hAnsi="Times New Roman"/>
          <w:szCs w:val="21"/>
        </w:rPr>
        <w:t>监理通知中载明的开始监理日期起计算。</w:t>
      </w:r>
    </w:p>
    <w:p>
      <w:pPr>
        <w:spacing w:line="360" w:lineRule="auto"/>
        <w:ind w:firstLine="420" w:firstLineChars="200"/>
        <w:rPr>
          <w:rFonts w:ascii="Times New Roman" w:hAnsi="Times New Roman"/>
          <w:szCs w:val="21"/>
        </w:rPr>
      </w:pPr>
      <w:r>
        <w:rPr>
          <w:rFonts w:ascii="Times New Roman" w:hAnsi="Times New Roman"/>
          <w:szCs w:val="21"/>
        </w:rPr>
        <w:t>6.1.2除专用合同条款另有约定外，因委托人原因造成合同签订之日起90天内未能发出开始监理通知的，监理人有权提出价格调整要求，或者解除合同。委托人应当承担由此增加的费用和（或）周期延误。</w:t>
      </w:r>
    </w:p>
    <w:p>
      <w:pPr>
        <w:pStyle w:val="4"/>
        <w:spacing w:line="240" w:lineRule="auto"/>
        <w:ind w:firstLine="137"/>
        <w:rPr>
          <w:rFonts w:ascii="Times New Roman" w:hAnsi="Times New Roman"/>
          <w:color w:val="000000"/>
        </w:rPr>
      </w:pPr>
      <w:bookmarkStart w:id="511" w:name="_Toc32031"/>
      <w:bookmarkStart w:id="512" w:name="_Toc482188593"/>
      <w:r>
        <w:rPr>
          <w:rFonts w:ascii="Times New Roman" w:hAnsi="Times New Roman"/>
          <w:color w:val="000000"/>
        </w:rPr>
        <w:t xml:space="preserve">6.2 </w:t>
      </w:r>
      <w:r>
        <w:rPr>
          <w:rFonts w:hint="eastAsia" w:ascii="Times New Roman" w:hAnsi="Times New Roman"/>
          <w:color w:val="000000"/>
        </w:rPr>
        <w:t>监理周期延误</w:t>
      </w:r>
      <w:bookmarkEnd w:id="511"/>
      <w:bookmarkEnd w:id="512"/>
    </w:p>
    <w:p>
      <w:pPr>
        <w:spacing w:line="360" w:lineRule="auto"/>
        <w:ind w:firstLine="420" w:firstLineChars="200"/>
        <w:rPr>
          <w:rFonts w:ascii="Times New Roman" w:hAnsi="Times New Roman"/>
          <w:szCs w:val="21"/>
        </w:rPr>
      </w:pPr>
      <w:r>
        <w:rPr>
          <w:rFonts w:ascii="Times New Roman" w:hAnsi="Times New Roman"/>
          <w:szCs w:val="21"/>
        </w:rPr>
        <w:t>在履行合同过程中，由于下列原因造成监理服务期限延误的，委托人应当延长监理服务期限并增加监理报酬，具体方法</w:t>
      </w:r>
      <w:r>
        <w:rPr>
          <w:rFonts w:ascii="Times New Roman" w:hAnsi="Times New Roman"/>
          <w:kern w:val="0"/>
          <w:szCs w:val="21"/>
        </w:rPr>
        <w:t>在专用合同条款中约定</w:t>
      </w:r>
      <w:r>
        <w:rPr>
          <w:rFonts w:ascii="Times New Roman" w:hAnsi="Times New Roman"/>
          <w:szCs w:val="21"/>
        </w:rPr>
        <w:t>。</w:t>
      </w:r>
      <w:bookmarkEnd w:id="508"/>
      <w:bookmarkEnd w:id="509"/>
      <w:bookmarkEnd w:id="510"/>
    </w:p>
    <w:p>
      <w:pPr>
        <w:spacing w:line="360" w:lineRule="auto"/>
        <w:ind w:firstLine="420" w:firstLineChars="200"/>
        <w:rPr>
          <w:rFonts w:ascii="Times New Roman" w:hAnsi="Times New Roman"/>
        </w:rPr>
      </w:pPr>
      <w:r>
        <w:rPr>
          <w:rFonts w:ascii="Times New Roman" w:hAnsi="Times New Roman"/>
        </w:rPr>
        <w:t>（1）合同变更；</w:t>
      </w:r>
    </w:p>
    <w:p>
      <w:pPr>
        <w:spacing w:line="360" w:lineRule="auto"/>
        <w:ind w:firstLine="420" w:firstLineChars="200"/>
        <w:rPr>
          <w:rFonts w:ascii="Times New Roman" w:hAnsi="Times New Roman"/>
        </w:rPr>
      </w:pPr>
      <w:r>
        <w:rPr>
          <w:rFonts w:ascii="Times New Roman" w:hAnsi="Times New Roman"/>
        </w:rPr>
        <w:t xml:space="preserve">（2）因委托人原因导致的监理工作暂停； </w:t>
      </w:r>
    </w:p>
    <w:p>
      <w:pPr>
        <w:spacing w:line="360" w:lineRule="auto"/>
        <w:ind w:firstLine="420" w:firstLineChars="200"/>
        <w:rPr>
          <w:rFonts w:ascii="Times New Roman" w:hAnsi="Times New Roman"/>
        </w:rPr>
      </w:pPr>
      <w:r>
        <w:rPr>
          <w:rFonts w:ascii="Times New Roman" w:hAnsi="Times New Roman"/>
        </w:rPr>
        <w:t>（3）未按合同约定及时支付监理报酬；</w:t>
      </w:r>
    </w:p>
    <w:p>
      <w:pPr>
        <w:spacing w:line="360" w:lineRule="auto"/>
        <w:ind w:firstLine="420" w:firstLineChars="200"/>
        <w:rPr>
          <w:rFonts w:ascii="Times New Roman" w:hAnsi="Times New Roman"/>
        </w:rPr>
      </w:pPr>
      <w:r>
        <w:rPr>
          <w:rFonts w:ascii="Times New Roman" w:hAnsi="Times New Roman"/>
        </w:rPr>
        <w:t>（4）未及时履行合同约定的相关义务；</w:t>
      </w:r>
    </w:p>
    <w:p>
      <w:pPr>
        <w:spacing w:line="360" w:lineRule="auto"/>
        <w:ind w:firstLine="420" w:firstLineChars="200"/>
        <w:rPr>
          <w:rFonts w:ascii="Times New Roman" w:hAnsi="Times New Roman"/>
          <w:szCs w:val="21"/>
        </w:rPr>
      </w:pPr>
      <w:r>
        <w:rPr>
          <w:rFonts w:ascii="Times New Roman" w:hAnsi="Times New Roman"/>
        </w:rPr>
        <w:t>（5）</w:t>
      </w:r>
      <w:r>
        <w:rPr>
          <w:rFonts w:ascii="Times New Roman" w:hAnsi="Times New Roman"/>
          <w:szCs w:val="21"/>
        </w:rPr>
        <w:t>由于承包人延误、行政管理</w:t>
      </w:r>
      <w:r>
        <w:rPr>
          <w:rFonts w:ascii="Times New Roman" w:hAnsi="Times New Roman"/>
        </w:rPr>
        <w:t>造成的监理</w:t>
      </w:r>
      <w:r>
        <w:rPr>
          <w:rFonts w:ascii="Times New Roman" w:hAnsi="Times New Roman"/>
          <w:szCs w:val="21"/>
        </w:rPr>
        <w:t>服务期延误；</w:t>
      </w:r>
    </w:p>
    <w:p>
      <w:pPr>
        <w:spacing w:line="360" w:lineRule="auto"/>
        <w:ind w:firstLine="420" w:firstLineChars="200"/>
        <w:rPr>
          <w:rFonts w:ascii="Times New Roman" w:hAnsi="Times New Roman"/>
          <w:szCs w:val="21"/>
        </w:rPr>
      </w:pPr>
      <w:r>
        <w:rPr>
          <w:rFonts w:ascii="Times New Roman" w:hAnsi="Times New Roman"/>
        </w:rPr>
        <w:t>（6）造成</w:t>
      </w:r>
      <w:r>
        <w:rPr>
          <w:rFonts w:ascii="Times New Roman" w:hAnsi="Times New Roman"/>
          <w:szCs w:val="21"/>
        </w:rPr>
        <w:t>监理服务期限延误的其他原因。</w:t>
      </w:r>
    </w:p>
    <w:p>
      <w:pPr>
        <w:pStyle w:val="4"/>
        <w:spacing w:line="240" w:lineRule="auto"/>
        <w:ind w:firstLine="137"/>
        <w:rPr>
          <w:rFonts w:ascii="Times New Roman" w:hAnsi="Times New Roman"/>
          <w:color w:val="000000"/>
        </w:rPr>
      </w:pPr>
      <w:bookmarkStart w:id="513" w:name="_Toc10488"/>
      <w:bookmarkStart w:id="514" w:name="_Toc467651004"/>
      <w:bookmarkStart w:id="515" w:name="_Toc482188601"/>
      <w:r>
        <w:rPr>
          <w:rFonts w:ascii="Times New Roman" w:hAnsi="Times New Roman"/>
          <w:color w:val="000000"/>
        </w:rPr>
        <w:t xml:space="preserve">6.3 </w:t>
      </w:r>
      <w:r>
        <w:rPr>
          <w:rFonts w:hint="eastAsia" w:ascii="Times New Roman" w:hAnsi="Times New Roman"/>
          <w:color w:val="000000"/>
        </w:rPr>
        <w:t>完成监理</w:t>
      </w:r>
      <w:bookmarkEnd w:id="513"/>
      <w:r>
        <w:rPr>
          <w:rFonts w:ascii="Times New Roman" w:hAnsi="Times New Roman"/>
          <w:color w:val="000000"/>
        </w:rPr>
        <w:t xml:space="preserve"> </w:t>
      </w:r>
    </w:p>
    <w:p>
      <w:pPr>
        <w:spacing w:line="360" w:lineRule="auto"/>
        <w:ind w:firstLine="420" w:firstLineChars="200"/>
        <w:rPr>
          <w:rFonts w:ascii="Times New Roman" w:hAnsi="Times New Roman"/>
        </w:rPr>
      </w:pPr>
      <w:r>
        <w:rPr>
          <w:rFonts w:ascii="Times New Roman" w:hAnsi="Times New Roman"/>
        </w:rPr>
        <w:t>6.3.1 监理人应当根据法律、规范标准、合同约定和委托人要求实施和完成监理，并编制和移交监理文件。</w:t>
      </w:r>
    </w:p>
    <w:p>
      <w:pPr>
        <w:spacing w:line="360" w:lineRule="auto"/>
        <w:ind w:firstLine="420" w:firstLineChars="200"/>
        <w:rPr>
          <w:rFonts w:ascii="Times New Roman" w:hAnsi="Times New Roman"/>
        </w:rPr>
      </w:pPr>
      <w:r>
        <w:rPr>
          <w:rFonts w:ascii="Times New Roman" w:hAnsi="Times New Roman"/>
        </w:rPr>
        <w:t>6.3.2 根据委托人要求或者基于专业能力判断，监理人认为能够提前完成监理的，可向委托人递交一份提前完成监理建议书，包括实施方案、提前时间、监理报酬变动等内容。除专用合同条款另有约定之外，委托人接受建议书的，不因提前完成监理而减少监理报酬；增加监理报酬的，所增费用由委托人承担。</w:t>
      </w:r>
    </w:p>
    <w:p>
      <w:pPr>
        <w:spacing w:line="360" w:lineRule="auto"/>
        <w:ind w:firstLine="420" w:firstLineChars="200"/>
        <w:rPr>
          <w:rFonts w:ascii="Times New Roman" w:hAnsi="Times New Roman"/>
        </w:rPr>
      </w:pPr>
      <w:r>
        <w:rPr>
          <w:rFonts w:ascii="Times New Roman" w:hAnsi="Times New Roman"/>
        </w:rPr>
        <w:t>6.3.3 缺陷修复监理指缺陷责任期间，监理人对承包人修复质量缺陷进行的监理。缺陷修复监理的责任由监理人负责。</w:t>
      </w:r>
    </w:p>
    <w:p>
      <w:pPr>
        <w:spacing w:line="360" w:lineRule="auto"/>
        <w:ind w:firstLine="420" w:firstLineChars="200"/>
        <w:rPr>
          <w:rFonts w:ascii="Times New Roman" w:hAnsi="Times New Roman"/>
        </w:rPr>
      </w:pPr>
      <w:r>
        <w:rPr>
          <w:rFonts w:ascii="Times New Roman" w:hAnsi="Times New Roman"/>
        </w:rPr>
        <w:t>6.3.4 委托人应当及时接收监理人提交的监理文件。如无正当理由拒收的，视为委托人已经接收监理文件。接收监理文件时，委托人应向监理人出具文件签收凭证，凭证内容包括文件名称、文件内容、文件形式、份数、提交和接收日期、提交人与接收人的亲笔签名等。</w:t>
      </w:r>
    </w:p>
    <w:p>
      <w:pPr>
        <w:spacing w:line="360" w:lineRule="auto"/>
        <w:ind w:firstLine="420" w:firstLineChars="200"/>
        <w:rPr>
          <w:rFonts w:ascii="Times New Roman" w:hAnsi="Times New Roman"/>
          <w:szCs w:val="21"/>
        </w:rPr>
      </w:pPr>
      <w:r>
        <w:rPr>
          <w:rFonts w:ascii="Times New Roman" w:hAnsi="Times New Roman"/>
          <w:szCs w:val="21"/>
        </w:rPr>
        <w:t>6.3</w:t>
      </w:r>
      <w:r>
        <w:rPr>
          <w:rFonts w:ascii="Times New Roman" w:hAnsi="Times New Roman"/>
        </w:rPr>
        <w:t>.5 除专用合同条款另有约定外，监理文件包括纸质文件和电子文件两种形式，两者若有不一致时，应以纸质文件为准。纸质文件应当加盖单位章和总监理工程师的注册执业印章，具体份数、纸幅、装订格式等要求，应</w:t>
      </w:r>
      <w:r>
        <w:rPr>
          <w:rFonts w:ascii="Times New Roman" w:hAnsi="Times New Roman"/>
          <w:szCs w:val="21"/>
        </w:rPr>
        <w:t>在专用合同条款中约定</w:t>
      </w:r>
      <w:r>
        <w:rPr>
          <w:rFonts w:ascii="Times New Roman" w:hAnsi="Times New Roman"/>
        </w:rPr>
        <w:t>；电子文件应使用光盘和U盘分别贮存。</w:t>
      </w:r>
    </w:p>
    <w:bookmarkEnd w:id="514"/>
    <w:bookmarkEnd w:id="515"/>
    <w:p>
      <w:pPr>
        <w:pStyle w:val="3"/>
        <w:rPr>
          <w:rFonts w:ascii="Times New Roman" w:hAnsi="Times New Roman"/>
        </w:rPr>
      </w:pPr>
      <w:bookmarkStart w:id="516" w:name="_Toc482188607"/>
      <w:bookmarkStart w:id="517" w:name="_Toc24868"/>
      <w:bookmarkStart w:id="518" w:name="_Toc247527728"/>
      <w:bookmarkStart w:id="519" w:name="_Toc247514127"/>
      <w:bookmarkStart w:id="520" w:name="_Toc184635110"/>
      <w:r>
        <w:rPr>
          <w:rFonts w:ascii="Times New Roman" w:hAnsi="Times New Roman"/>
        </w:rPr>
        <w:t>7. 监理责任与保险</w:t>
      </w:r>
      <w:bookmarkEnd w:id="516"/>
      <w:bookmarkEnd w:id="517"/>
    </w:p>
    <w:bookmarkEnd w:id="518"/>
    <w:bookmarkEnd w:id="519"/>
    <w:bookmarkEnd w:id="520"/>
    <w:p>
      <w:pPr>
        <w:pStyle w:val="4"/>
        <w:spacing w:line="240" w:lineRule="auto"/>
        <w:ind w:firstLine="137"/>
        <w:rPr>
          <w:rFonts w:ascii="Times New Roman" w:hAnsi="Times New Roman"/>
          <w:color w:val="000000"/>
        </w:rPr>
      </w:pPr>
      <w:bookmarkStart w:id="521" w:name="_Toc482188610"/>
      <w:bookmarkStart w:id="522" w:name="_Toc30636"/>
      <w:r>
        <w:rPr>
          <w:rFonts w:ascii="Times New Roman" w:hAnsi="Times New Roman"/>
          <w:color w:val="000000"/>
        </w:rPr>
        <w:t xml:space="preserve">7.1 </w:t>
      </w:r>
      <w:r>
        <w:rPr>
          <w:rFonts w:hint="eastAsia" w:ascii="Times New Roman" w:hAnsi="Times New Roman"/>
          <w:color w:val="000000"/>
        </w:rPr>
        <w:t>监理责任主体</w:t>
      </w:r>
      <w:bookmarkEnd w:id="521"/>
      <w:bookmarkEnd w:id="522"/>
    </w:p>
    <w:p>
      <w:pPr>
        <w:spacing w:line="360" w:lineRule="auto"/>
        <w:ind w:firstLine="420" w:firstLineChars="200"/>
        <w:rPr>
          <w:rFonts w:ascii="Times New Roman" w:hAnsi="Times New Roman"/>
        </w:rPr>
      </w:pPr>
      <w:r>
        <w:rPr>
          <w:rFonts w:ascii="Times New Roman" w:hAnsi="Times New Roman"/>
        </w:rPr>
        <w:t>7.1.1 监理人应运用一切合理的专业技术、知识技能和项目经验，按照职业道德准则和行业公认标准尽其全部职责，勤勉、谨慎、公正地履行其在本合同项下的责任和义务。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rPr>
      </w:pPr>
      <w:r>
        <w:rPr>
          <w:rFonts w:ascii="Times New Roman" w:hAnsi="Times New Roman"/>
        </w:rPr>
        <w:t>7.1.2 监理责任为监理单位项目负责人终身责任制。</w:t>
      </w:r>
      <w:r>
        <w:rPr>
          <w:rFonts w:ascii="Times New Roman" w:hAnsi="Times New Roman"/>
          <w:color w:val="333333"/>
          <w:szCs w:val="21"/>
          <w:shd w:val="clear" w:color="auto" w:fill="FFFFFF"/>
        </w:rPr>
        <w:t>总监理工程师应当按照法律法规、有关技术标准、设计文件和工程承包合同进行监理，对施工质量承担监理责任。</w:t>
      </w:r>
    </w:p>
    <w:p>
      <w:pPr>
        <w:spacing w:line="360" w:lineRule="auto"/>
        <w:ind w:firstLine="420" w:firstLineChars="200"/>
        <w:rPr>
          <w:rFonts w:ascii="Times New Roman" w:hAnsi="Times New Roman"/>
        </w:rPr>
      </w:pPr>
      <w:r>
        <w:rPr>
          <w:rFonts w:ascii="Times New Roman" w:hAnsi="Times New Roman"/>
        </w:rPr>
        <w:t>7.1.3 总监理工程师应当在办理工程质量监督手续前签署工程质量终身责任承诺书，连同法定代表人出具的授权书，报工程质量监督机构备案。</w:t>
      </w:r>
    </w:p>
    <w:p>
      <w:pPr>
        <w:pStyle w:val="4"/>
        <w:spacing w:line="240" w:lineRule="auto"/>
        <w:ind w:firstLine="137"/>
        <w:rPr>
          <w:rFonts w:ascii="Times New Roman" w:hAnsi="Times New Roman"/>
          <w:color w:val="000000"/>
        </w:rPr>
      </w:pPr>
      <w:bookmarkStart w:id="523" w:name="_Toc24672"/>
      <w:bookmarkStart w:id="524" w:name="_Toc482188611"/>
      <w:r>
        <w:rPr>
          <w:rFonts w:ascii="Times New Roman" w:hAnsi="Times New Roman"/>
          <w:color w:val="000000"/>
        </w:rPr>
        <w:t xml:space="preserve">7.2 </w:t>
      </w:r>
      <w:r>
        <w:rPr>
          <w:rFonts w:hint="eastAsia" w:ascii="Times New Roman" w:hAnsi="Times New Roman"/>
          <w:color w:val="000000"/>
        </w:rPr>
        <w:t>监理责任保险</w:t>
      </w:r>
      <w:bookmarkEnd w:id="523"/>
      <w:bookmarkEnd w:id="524"/>
    </w:p>
    <w:p>
      <w:pPr>
        <w:spacing w:line="360" w:lineRule="auto"/>
        <w:ind w:firstLine="420" w:firstLineChars="200"/>
        <w:rPr>
          <w:rFonts w:ascii="Times New Roman" w:hAnsi="Times New Roman"/>
        </w:rPr>
      </w:pPr>
      <w:r>
        <w:rPr>
          <w:rFonts w:ascii="Times New Roman" w:hAnsi="Times New Roman"/>
        </w:rPr>
        <w:t>除专用合同条款另有约定外，建议监理人根据工程情况对监理责任进行保险，并在合同履行期间保持足额、有效。</w:t>
      </w:r>
    </w:p>
    <w:p>
      <w:pPr>
        <w:pStyle w:val="3"/>
        <w:rPr>
          <w:rFonts w:ascii="Times New Roman" w:hAnsi="Times New Roman"/>
        </w:rPr>
      </w:pPr>
      <w:bookmarkStart w:id="525" w:name="_Toc9485"/>
      <w:bookmarkStart w:id="526" w:name="_Toc482188615"/>
      <w:r>
        <w:rPr>
          <w:rFonts w:ascii="Times New Roman" w:hAnsi="Times New Roman"/>
        </w:rPr>
        <w:t>8. 合同变更</w:t>
      </w:r>
      <w:bookmarkEnd w:id="525"/>
      <w:bookmarkEnd w:id="526"/>
    </w:p>
    <w:p>
      <w:pPr>
        <w:pStyle w:val="4"/>
        <w:spacing w:line="240" w:lineRule="auto"/>
        <w:ind w:firstLine="137"/>
        <w:rPr>
          <w:rFonts w:ascii="Times New Roman" w:hAnsi="Times New Roman"/>
          <w:color w:val="000000"/>
        </w:rPr>
      </w:pPr>
      <w:bookmarkStart w:id="527" w:name="_Toc467651025"/>
      <w:bookmarkStart w:id="528" w:name="_Toc3996"/>
      <w:bookmarkStart w:id="529" w:name="_Toc482188616"/>
      <w:r>
        <w:rPr>
          <w:rFonts w:ascii="Times New Roman" w:hAnsi="Times New Roman"/>
          <w:color w:val="000000"/>
        </w:rPr>
        <w:t xml:space="preserve">8.1 </w:t>
      </w:r>
      <w:r>
        <w:rPr>
          <w:rFonts w:hint="eastAsia" w:ascii="Times New Roman" w:hAnsi="Times New Roman"/>
          <w:color w:val="000000"/>
        </w:rPr>
        <w:t>变更情形</w:t>
      </w:r>
      <w:bookmarkEnd w:id="527"/>
      <w:bookmarkEnd w:id="528"/>
      <w:bookmarkEnd w:id="529"/>
    </w:p>
    <w:p>
      <w:pPr>
        <w:spacing w:line="360" w:lineRule="auto"/>
        <w:ind w:firstLine="420" w:firstLineChars="200"/>
        <w:rPr>
          <w:rFonts w:ascii="Times New Roman" w:hAnsi="Times New Roman"/>
          <w:szCs w:val="21"/>
        </w:rPr>
      </w:pPr>
      <w:r>
        <w:rPr>
          <w:rFonts w:ascii="Times New Roman" w:hAnsi="Times New Roman"/>
          <w:szCs w:val="21"/>
        </w:rPr>
        <w:t>8.1.1 合同履行中发生下述情形时，合同一方均可向对方提出变更请求，经双方协商一致后进行变更，监理服务期限和监理报酬的调整方法</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（1）监理范围发生变化；</w:t>
      </w:r>
    </w:p>
    <w:p>
      <w:pPr>
        <w:spacing w:line="360" w:lineRule="auto"/>
        <w:ind w:firstLine="420" w:firstLineChars="200"/>
        <w:rPr>
          <w:rFonts w:ascii="Times New Roman" w:hAnsi="Times New Roman"/>
          <w:szCs w:val="21"/>
        </w:rPr>
      </w:pPr>
      <w:r>
        <w:rPr>
          <w:rFonts w:ascii="Times New Roman" w:hAnsi="Times New Roman"/>
          <w:szCs w:val="21"/>
        </w:rPr>
        <w:t>（2）除不可抗力外，非监理人的原因引起的周期延误；</w:t>
      </w:r>
    </w:p>
    <w:p>
      <w:pPr>
        <w:spacing w:line="360" w:lineRule="auto"/>
        <w:ind w:firstLine="420" w:firstLineChars="200"/>
        <w:rPr>
          <w:rFonts w:ascii="Times New Roman" w:hAnsi="Times New Roman"/>
          <w:szCs w:val="21"/>
        </w:rPr>
      </w:pPr>
      <w:r>
        <w:rPr>
          <w:rFonts w:ascii="Times New Roman" w:hAnsi="Times New Roman"/>
          <w:szCs w:val="21"/>
        </w:rPr>
        <w:t>（3）非监理人的原因，对工程同一部分重复进行监理；</w:t>
      </w:r>
    </w:p>
    <w:p>
      <w:pPr>
        <w:spacing w:line="360" w:lineRule="auto"/>
        <w:ind w:firstLine="420" w:firstLineChars="200"/>
        <w:rPr>
          <w:rFonts w:ascii="Times New Roman" w:hAnsi="Times New Roman"/>
          <w:szCs w:val="21"/>
        </w:rPr>
      </w:pPr>
      <w:r>
        <w:rPr>
          <w:rFonts w:ascii="Times New Roman" w:hAnsi="Times New Roman"/>
          <w:szCs w:val="21"/>
        </w:rPr>
        <w:t>（4）非监理人的原因，对工程暂停监理及恢复监理。</w:t>
      </w:r>
    </w:p>
    <w:p>
      <w:pPr>
        <w:spacing w:line="360" w:lineRule="auto"/>
        <w:ind w:firstLine="420" w:firstLineChars="200"/>
        <w:rPr>
          <w:rFonts w:ascii="Times New Roman" w:hAnsi="Times New Roman"/>
          <w:szCs w:val="21"/>
        </w:rPr>
      </w:pPr>
      <w:r>
        <w:rPr>
          <w:rFonts w:ascii="Times New Roman" w:hAnsi="Times New Roman"/>
          <w:szCs w:val="21"/>
        </w:rPr>
        <w:t>8.1.2 基准日后，因颁布新的或修订原有法律、法规、规范和标准等引发合同变更情形的，按照上述约定进行调整。</w:t>
      </w:r>
    </w:p>
    <w:p>
      <w:pPr>
        <w:pStyle w:val="4"/>
        <w:spacing w:line="240" w:lineRule="auto"/>
        <w:ind w:firstLine="137"/>
        <w:rPr>
          <w:rFonts w:ascii="Times New Roman" w:hAnsi="Times New Roman"/>
          <w:color w:val="000000"/>
        </w:rPr>
      </w:pPr>
      <w:bookmarkStart w:id="530" w:name="_Toc467651026"/>
      <w:bookmarkStart w:id="531" w:name="_Toc18268"/>
      <w:bookmarkStart w:id="532" w:name="_Toc482188617"/>
      <w:r>
        <w:rPr>
          <w:rFonts w:ascii="Times New Roman" w:hAnsi="Times New Roman"/>
          <w:color w:val="000000"/>
        </w:rPr>
        <w:t xml:space="preserve">8.2 </w:t>
      </w:r>
      <w:r>
        <w:rPr>
          <w:rFonts w:hint="eastAsia" w:ascii="Times New Roman" w:hAnsi="Times New Roman"/>
          <w:color w:val="000000"/>
        </w:rPr>
        <w:t>合理化建议</w:t>
      </w:r>
      <w:bookmarkEnd w:id="530"/>
      <w:bookmarkEnd w:id="531"/>
      <w:bookmarkEnd w:id="532"/>
    </w:p>
    <w:p>
      <w:pPr>
        <w:spacing w:line="360" w:lineRule="auto"/>
        <w:ind w:firstLine="420" w:firstLineChars="200"/>
        <w:rPr>
          <w:rFonts w:ascii="Times New Roman" w:hAnsi="Times New Roman"/>
          <w:szCs w:val="21"/>
        </w:rPr>
      </w:pPr>
      <w:r>
        <w:rPr>
          <w:rFonts w:ascii="Times New Roman" w:hAnsi="Times New Roman"/>
        </w:rPr>
        <w:t xml:space="preserve">8.2.1 </w:t>
      </w:r>
      <w:r>
        <w:rPr>
          <w:rFonts w:ascii="Times New Roman" w:hAnsi="Times New Roman"/>
          <w:szCs w:val="21"/>
        </w:rPr>
        <w:t>合同履行中，监理人可对委托人要求提出合理化建议。合理化建议应以书面形式提交委托人，被委托人采纳并构成变更的，执行第</w:t>
      </w:r>
      <w:r>
        <w:rPr>
          <w:rFonts w:ascii="Times New Roman" w:hAnsi="Times New Roman"/>
        </w:rPr>
        <w:t>8.1</w:t>
      </w:r>
      <w:r>
        <w:rPr>
          <w:rFonts w:ascii="Times New Roman" w:hAnsi="Times New Roman"/>
          <w:szCs w:val="21"/>
        </w:rPr>
        <w:t>款约定。</w:t>
      </w:r>
    </w:p>
    <w:p>
      <w:pPr>
        <w:spacing w:line="360" w:lineRule="auto"/>
        <w:ind w:firstLine="420" w:firstLineChars="200"/>
        <w:rPr>
          <w:rFonts w:ascii="Times New Roman" w:hAnsi="Times New Roman"/>
          <w:szCs w:val="21"/>
        </w:rPr>
      </w:pPr>
      <w:r>
        <w:rPr>
          <w:rFonts w:ascii="Times New Roman" w:hAnsi="Times New Roman"/>
        </w:rPr>
        <w:t>8.2.2</w:t>
      </w:r>
      <w:r>
        <w:rPr>
          <w:rFonts w:ascii="Times New Roman" w:hAnsi="Times New Roman"/>
          <w:szCs w:val="21"/>
        </w:rPr>
        <w:t xml:space="preserve"> 监理人提出的合理化建议降低了工程投资、缩短了施工期限或者提高了工程经济效益的，委托人应按专用合同条款中的约定给予奖励。</w:t>
      </w:r>
    </w:p>
    <w:p>
      <w:pPr>
        <w:pStyle w:val="3"/>
        <w:rPr>
          <w:rFonts w:ascii="Times New Roman" w:hAnsi="Times New Roman"/>
        </w:rPr>
      </w:pPr>
      <w:bookmarkStart w:id="533" w:name="_Toc482188618"/>
      <w:bookmarkStart w:id="534" w:name="_Toc5703"/>
      <w:r>
        <w:rPr>
          <w:rFonts w:ascii="Times New Roman" w:hAnsi="Times New Roman"/>
        </w:rPr>
        <w:t>9. 合同价格与支付</w:t>
      </w:r>
      <w:bookmarkEnd w:id="533"/>
      <w:bookmarkEnd w:id="534"/>
    </w:p>
    <w:p>
      <w:pPr>
        <w:pStyle w:val="4"/>
        <w:spacing w:line="240" w:lineRule="auto"/>
        <w:ind w:firstLine="137"/>
        <w:rPr>
          <w:rFonts w:ascii="Times New Roman" w:hAnsi="Times New Roman"/>
          <w:color w:val="000000"/>
        </w:rPr>
      </w:pPr>
      <w:bookmarkStart w:id="535" w:name="_Toc29108"/>
      <w:bookmarkStart w:id="536" w:name="_Toc482188619"/>
      <w:r>
        <w:rPr>
          <w:rFonts w:ascii="Times New Roman" w:hAnsi="Times New Roman"/>
          <w:color w:val="000000"/>
        </w:rPr>
        <w:t xml:space="preserve">9.1 </w:t>
      </w:r>
      <w:r>
        <w:rPr>
          <w:rFonts w:hint="eastAsia" w:ascii="Times New Roman" w:hAnsi="Times New Roman"/>
          <w:color w:val="000000"/>
        </w:rPr>
        <w:t>合同价格</w:t>
      </w:r>
      <w:bookmarkEnd w:id="535"/>
      <w:bookmarkEnd w:id="536"/>
    </w:p>
    <w:p>
      <w:pPr>
        <w:spacing w:line="360" w:lineRule="auto"/>
        <w:ind w:firstLine="420" w:firstLineChars="200"/>
        <w:rPr>
          <w:rFonts w:ascii="Times New Roman" w:hAnsi="Times New Roman"/>
        </w:rPr>
      </w:pPr>
      <w:r>
        <w:rPr>
          <w:rFonts w:ascii="Times New Roman" w:hAnsi="Times New Roman"/>
        </w:rPr>
        <w:t>9.1.1 本合同的价款确定方式、调整方式和风险范围划分，</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9.1.2 除专用合同条款另有约定外，合同价格</w:t>
      </w:r>
      <w:r>
        <w:rPr>
          <w:rFonts w:ascii="Times New Roman" w:hAnsi="Times New Roman"/>
          <w:color w:val="000000"/>
        </w:rPr>
        <w:t>应当包括收集资料、踏勘现场、制订纲要、实施监理、编制监理文件等全部费用和国家规定的增值税税金</w:t>
      </w:r>
      <w:r>
        <w:rPr>
          <w:rFonts w:ascii="Times New Roman" w:hAnsi="Times New Roman"/>
        </w:rPr>
        <w:t>。</w:t>
      </w:r>
    </w:p>
    <w:p>
      <w:pPr>
        <w:spacing w:line="360" w:lineRule="auto"/>
        <w:ind w:firstLine="420" w:firstLineChars="200"/>
        <w:rPr>
          <w:rFonts w:ascii="Times New Roman" w:hAnsi="Times New Roman"/>
          <w:szCs w:val="21"/>
        </w:rPr>
      </w:pPr>
      <w:r>
        <w:rPr>
          <w:rFonts w:ascii="Times New Roman" w:hAnsi="Times New Roman"/>
        </w:rPr>
        <w:t>9.1.3 委托人要求监理人进行外出考察、试验检测、专项咨询或专家评审时，相应费用不含在合同价格之中，由委托人另行支付。</w:t>
      </w:r>
    </w:p>
    <w:p>
      <w:pPr>
        <w:pStyle w:val="4"/>
        <w:spacing w:line="240" w:lineRule="auto"/>
        <w:ind w:firstLine="137"/>
        <w:rPr>
          <w:rFonts w:ascii="Times New Roman" w:hAnsi="Times New Roman"/>
          <w:color w:val="000000"/>
        </w:rPr>
      </w:pPr>
      <w:bookmarkStart w:id="537" w:name="_Toc482188620"/>
      <w:bookmarkStart w:id="538" w:name="_Toc18127"/>
      <w:r>
        <w:rPr>
          <w:rFonts w:ascii="Times New Roman" w:hAnsi="Times New Roman"/>
          <w:color w:val="000000"/>
        </w:rPr>
        <w:t xml:space="preserve">9.2 </w:t>
      </w:r>
      <w:bookmarkEnd w:id="537"/>
      <w:r>
        <w:rPr>
          <w:rFonts w:hint="eastAsia" w:ascii="Times New Roman" w:hAnsi="Times New Roman"/>
          <w:color w:val="000000"/>
        </w:rPr>
        <w:t>预付款</w:t>
      </w:r>
      <w:bookmarkEnd w:id="538"/>
    </w:p>
    <w:p>
      <w:pPr>
        <w:spacing w:line="360" w:lineRule="auto"/>
        <w:ind w:firstLine="420" w:firstLineChars="200"/>
        <w:rPr>
          <w:rFonts w:ascii="Times New Roman" w:hAnsi="Times New Roman"/>
        </w:rPr>
      </w:pPr>
      <w:r>
        <w:rPr>
          <w:rFonts w:ascii="Times New Roman" w:hAnsi="Times New Roman"/>
        </w:rPr>
        <w:t>9.2.1</w:t>
      </w:r>
      <w:r>
        <w:rPr>
          <w:rFonts w:ascii="Times New Roman" w:hAnsi="Times New Roman"/>
          <w:szCs w:val="21"/>
        </w:rPr>
        <w:t>预付款应专用于本工程的监理。预付款的额度</w:t>
      </w:r>
      <w:r>
        <w:rPr>
          <w:rFonts w:hint="eastAsia" w:ascii="Times New Roman" w:hAnsi="Times New Roman"/>
          <w:szCs w:val="21"/>
        </w:rPr>
        <w:t>、</w:t>
      </w:r>
      <w:r>
        <w:rPr>
          <w:rFonts w:ascii="Times New Roman" w:hAnsi="Times New Roman"/>
          <w:szCs w:val="21"/>
        </w:rPr>
        <w:t>支付方式</w:t>
      </w:r>
      <w:r>
        <w:rPr>
          <w:rFonts w:hint="eastAsia" w:ascii="Times New Roman" w:hAnsi="Times New Roman"/>
          <w:szCs w:val="21"/>
        </w:rPr>
        <w:t>及抵扣方式</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9.2.2 委托人应在收到预付款支付</w:t>
      </w:r>
      <w:r>
        <w:rPr>
          <w:rFonts w:ascii="Times New Roman" w:hAnsi="Times New Roman"/>
          <w:szCs w:val="21"/>
        </w:rPr>
        <w:t>申请</w:t>
      </w:r>
      <w:r>
        <w:rPr>
          <w:rFonts w:ascii="Times New Roman" w:hAnsi="Times New Roman"/>
        </w:rPr>
        <w:t>后28天内，将预付款支付给监理人；监理人应当提供等额的增值税发票。</w:t>
      </w:r>
    </w:p>
    <w:p>
      <w:pPr>
        <w:pStyle w:val="4"/>
        <w:spacing w:line="240" w:lineRule="auto"/>
        <w:ind w:firstLine="137"/>
        <w:rPr>
          <w:rFonts w:ascii="Times New Roman" w:hAnsi="Times New Roman"/>
          <w:color w:val="000000"/>
        </w:rPr>
      </w:pPr>
      <w:bookmarkStart w:id="539" w:name="_Toc467651035"/>
      <w:bookmarkStart w:id="540" w:name="_Toc4486"/>
      <w:bookmarkStart w:id="541" w:name="_Toc482188621"/>
      <w:r>
        <w:rPr>
          <w:rFonts w:ascii="Times New Roman" w:hAnsi="Times New Roman"/>
          <w:color w:val="000000"/>
        </w:rPr>
        <w:t xml:space="preserve">9.3 </w:t>
      </w:r>
      <w:r>
        <w:rPr>
          <w:rFonts w:hint="eastAsia" w:ascii="Times New Roman" w:hAnsi="Times New Roman"/>
          <w:color w:val="000000"/>
        </w:rPr>
        <w:t>中期支付</w:t>
      </w:r>
      <w:bookmarkEnd w:id="539"/>
      <w:bookmarkEnd w:id="540"/>
      <w:bookmarkEnd w:id="541"/>
    </w:p>
    <w:p>
      <w:pPr>
        <w:spacing w:line="360" w:lineRule="auto"/>
        <w:ind w:firstLine="420" w:firstLineChars="200"/>
        <w:rPr>
          <w:rFonts w:ascii="Times New Roman" w:hAnsi="Times New Roman"/>
          <w:szCs w:val="21"/>
        </w:rPr>
      </w:pPr>
      <w:r>
        <w:rPr>
          <w:rFonts w:ascii="Times New Roman" w:hAnsi="Times New Roman"/>
        </w:rPr>
        <w:t>9.3.1</w:t>
      </w:r>
      <w:r>
        <w:rPr>
          <w:rFonts w:ascii="Times New Roman" w:hAnsi="Times New Roman"/>
          <w:szCs w:val="21"/>
        </w:rPr>
        <w:t xml:space="preserve"> 监理人应按委托人批准或专用合同条款约定的格式及份数，向委托人提交中期支付申请，并附相应的支持性证明文件。</w:t>
      </w:r>
    </w:p>
    <w:p>
      <w:pPr>
        <w:spacing w:line="360" w:lineRule="auto"/>
        <w:ind w:firstLine="420" w:firstLineChars="200"/>
        <w:rPr>
          <w:rFonts w:ascii="Times New Roman" w:hAnsi="Times New Roman"/>
        </w:rPr>
      </w:pPr>
      <w:r>
        <w:rPr>
          <w:rFonts w:ascii="Times New Roman" w:hAnsi="Times New Roman"/>
        </w:rPr>
        <w:t>9.3.2 委托人应在收到</w:t>
      </w:r>
      <w:r>
        <w:rPr>
          <w:rFonts w:ascii="Times New Roman" w:hAnsi="Times New Roman"/>
          <w:szCs w:val="21"/>
        </w:rPr>
        <w:t>中期支付申请</w:t>
      </w:r>
      <w:r>
        <w:rPr>
          <w:rFonts w:ascii="Times New Roman" w:hAnsi="Times New Roman"/>
        </w:rPr>
        <w:t>后的28天内，将应付款项支付给监理人；监理人应当提供等额的增值税发票。委托人未能在前述时间内完成审批或不予答复的，视为委托人同意</w:t>
      </w:r>
      <w:r>
        <w:rPr>
          <w:rFonts w:ascii="Times New Roman" w:hAnsi="Times New Roman"/>
          <w:szCs w:val="21"/>
        </w:rPr>
        <w:t>中期支付申请</w:t>
      </w:r>
      <w:r>
        <w:rPr>
          <w:rFonts w:ascii="Times New Roman" w:hAnsi="Times New Roman"/>
        </w:rPr>
        <w:t>。委托人不按期支付的，按专用合同条款的约定支付逾期付款违约金。</w:t>
      </w:r>
    </w:p>
    <w:p>
      <w:pPr>
        <w:spacing w:line="360" w:lineRule="auto"/>
        <w:ind w:firstLine="420" w:firstLineChars="200"/>
        <w:rPr>
          <w:rFonts w:ascii="Times New Roman" w:hAnsi="Times New Roman"/>
          <w:szCs w:val="21"/>
        </w:rPr>
      </w:pPr>
      <w:r>
        <w:rPr>
          <w:rFonts w:ascii="Times New Roman" w:hAnsi="Times New Roman"/>
        </w:rPr>
        <w:t xml:space="preserve">9.3.3 </w:t>
      </w:r>
      <w:r>
        <w:rPr>
          <w:rFonts w:ascii="Times New Roman" w:hAnsi="Times New Roman"/>
          <w:szCs w:val="21"/>
        </w:rPr>
        <w:t>中期支付涉及政府投资资金的，按照国库集中支付等国家相关规定和专用合同条款的约定执行。</w:t>
      </w:r>
    </w:p>
    <w:p>
      <w:pPr>
        <w:pStyle w:val="4"/>
        <w:spacing w:line="240" w:lineRule="auto"/>
        <w:ind w:firstLine="137"/>
        <w:rPr>
          <w:rFonts w:ascii="Times New Roman" w:hAnsi="Times New Roman"/>
          <w:color w:val="000000"/>
        </w:rPr>
      </w:pPr>
      <w:bookmarkStart w:id="542" w:name="_Toc467651036"/>
      <w:bookmarkStart w:id="543" w:name="_Toc4790"/>
      <w:bookmarkStart w:id="544" w:name="_Toc482188622"/>
      <w:r>
        <w:rPr>
          <w:rFonts w:ascii="Times New Roman" w:hAnsi="Times New Roman"/>
          <w:color w:val="000000"/>
        </w:rPr>
        <w:t xml:space="preserve">9.4 </w:t>
      </w:r>
      <w:r>
        <w:rPr>
          <w:rFonts w:hint="eastAsia" w:ascii="Times New Roman" w:hAnsi="Times New Roman"/>
          <w:color w:val="000000"/>
        </w:rPr>
        <w:t>费用结算</w:t>
      </w:r>
      <w:bookmarkEnd w:id="542"/>
      <w:bookmarkEnd w:id="543"/>
      <w:bookmarkEnd w:id="544"/>
    </w:p>
    <w:p>
      <w:pPr>
        <w:spacing w:line="360" w:lineRule="auto"/>
        <w:ind w:firstLine="420" w:firstLineChars="200"/>
        <w:rPr>
          <w:rFonts w:ascii="Times New Roman" w:hAnsi="Times New Roman"/>
        </w:rPr>
      </w:pPr>
      <w:r>
        <w:rPr>
          <w:rFonts w:ascii="Times New Roman" w:hAnsi="Times New Roman"/>
        </w:rPr>
        <w:t>9.4.1</w:t>
      </w:r>
      <w:r>
        <w:rPr>
          <w:rFonts w:ascii="Times New Roman" w:hAnsi="Times New Roman"/>
          <w:szCs w:val="21"/>
        </w:rPr>
        <w:t xml:space="preserve"> 合同工作完成后</w:t>
      </w:r>
      <w:r>
        <w:rPr>
          <w:rFonts w:ascii="Times New Roman" w:hAnsi="Times New Roman"/>
        </w:rPr>
        <w:t>，监理人可按专用合同条款约定的份数和期限，向委托人提交监理费用结算申请，并提供相关证明材料。</w:t>
      </w:r>
    </w:p>
    <w:p>
      <w:pPr>
        <w:spacing w:line="360" w:lineRule="auto"/>
        <w:ind w:firstLine="420" w:firstLineChars="200"/>
        <w:rPr>
          <w:rFonts w:ascii="Times New Roman" w:hAnsi="Times New Roman"/>
        </w:rPr>
      </w:pPr>
      <w:r>
        <w:rPr>
          <w:rFonts w:ascii="Times New Roman" w:hAnsi="Times New Roman"/>
        </w:rPr>
        <w:t>9.4.2 委托人应在收到费用结算申请后的28天内，将应付款项支付给监理人；监理人应当提供等额的增值税发票。委托人未能在前述时间内完成审批或不予答复的，视为委托人同意费用结算申请。委托人不按期支付的，按专用合同条款的约定支付逾期付款违约金。</w:t>
      </w:r>
    </w:p>
    <w:p>
      <w:pPr>
        <w:spacing w:line="360" w:lineRule="auto"/>
        <w:ind w:firstLine="420" w:firstLineChars="200"/>
        <w:rPr>
          <w:rFonts w:ascii="Times New Roman" w:hAnsi="Times New Roman"/>
        </w:rPr>
      </w:pPr>
      <w:r>
        <w:rPr>
          <w:rFonts w:ascii="Times New Roman" w:hAnsi="Times New Roman"/>
        </w:rPr>
        <w:t>9.4.3 委托人对费用结算申请内容有异议的，有权要求监理人进行修正和提供补充资料，由监理人重新提交</w:t>
      </w:r>
      <w:r>
        <w:rPr>
          <w:rFonts w:ascii="Times New Roman" w:hAnsi="Times New Roman"/>
          <w:szCs w:val="21"/>
        </w:rPr>
        <w:t>。</w:t>
      </w:r>
      <w:r>
        <w:rPr>
          <w:rFonts w:ascii="Times New Roman" w:hAnsi="Times New Roman"/>
        </w:rPr>
        <w:t>监理人对此有异议的，按第12条的约定执行。</w:t>
      </w:r>
    </w:p>
    <w:p>
      <w:pPr>
        <w:spacing w:line="360" w:lineRule="auto"/>
        <w:ind w:firstLine="420" w:firstLineChars="200"/>
        <w:rPr>
          <w:rFonts w:ascii="Times New Roman" w:hAnsi="Times New Roman"/>
          <w:szCs w:val="21"/>
        </w:rPr>
      </w:pPr>
      <w:r>
        <w:rPr>
          <w:rFonts w:ascii="Times New Roman" w:hAnsi="Times New Roman"/>
        </w:rPr>
        <w:t>9.4.4 最终结清</w:t>
      </w:r>
      <w:r>
        <w:rPr>
          <w:rFonts w:ascii="Times New Roman" w:hAnsi="Times New Roman"/>
          <w:szCs w:val="21"/>
        </w:rPr>
        <w:t>付款涉及政府投资资金的，</w:t>
      </w:r>
      <w:r>
        <w:rPr>
          <w:rFonts w:ascii="Times New Roman" w:hAnsi="Times New Roman"/>
        </w:rPr>
        <w:t>按第9.3.3项的</w:t>
      </w:r>
      <w:r>
        <w:rPr>
          <w:rFonts w:ascii="Times New Roman" w:hAnsi="Times New Roman"/>
          <w:szCs w:val="21"/>
        </w:rPr>
        <w:t>约定执行。</w:t>
      </w:r>
    </w:p>
    <w:p>
      <w:pPr>
        <w:pStyle w:val="3"/>
        <w:rPr>
          <w:rFonts w:ascii="Times New Roman" w:hAnsi="Times New Roman"/>
        </w:rPr>
      </w:pPr>
      <w:bookmarkStart w:id="545" w:name="_Toc27866"/>
      <w:bookmarkStart w:id="546" w:name="_Toc482188623"/>
      <w:r>
        <w:rPr>
          <w:rFonts w:ascii="Times New Roman" w:hAnsi="Times New Roman"/>
        </w:rPr>
        <w:t>10. 不可抗力</w:t>
      </w:r>
      <w:bookmarkEnd w:id="545"/>
      <w:bookmarkEnd w:id="546"/>
    </w:p>
    <w:p>
      <w:pPr>
        <w:pStyle w:val="4"/>
        <w:spacing w:line="240" w:lineRule="auto"/>
        <w:ind w:firstLine="137"/>
        <w:rPr>
          <w:rFonts w:ascii="Times New Roman" w:hAnsi="Times New Roman"/>
          <w:color w:val="000000"/>
        </w:rPr>
      </w:pPr>
      <w:bookmarkStart w:id="547" w:name="_Toc482188624"/>
      <w:bookmarkStart w:id="548" w:name="_Toc73"/>
      <w:r>
        <w:rPr>
          <w:rFonts w:ascii="Times New Roman" w:hAnsi="Times New Roman"/>
          <w:color w:val="000000"/>
        </w:rPr>
        <w:t xml:space="preserve">10.1 </w:t>
      </w:r>
      <w:r>
        <w:rPr>
          <w:rFonts w:hint="eastAsia" w:ascii="Times New Roman" w:hAnsi="Times New Roman"/>
          <w:color w:val="000000"/>
        </w:rPr>
        <w:t>不可抗力的确认</w:t>
      </w:r>
      <w:bookmarkEnd w:id="547"/>
      <w:bookmarkEnd w:id="548"/>
    </w:p>
    <w:p>
      <w:pPr>
        <w:spacing w:line="360" w:lineRule="auto"/>
        <w:ind w:firstLine="420" w:firstLineChars="200"/>
        <w:rPr>
          <w:rFonts w:ascii="Times New Roman" w:hAnsi="Times New Roman"/>
        </w:rPr>
      </w:pPr>
      <w:r>
        <w:rPr>
          <w:rFonts w:ascii="Times New Roman" w:hAnsi="Times New Roman"/>
        </w:rPr>
        <w:t>10.1.1</w:t>
      </w:r>
      <w:r>
        <w:rPr>
          <w:rFonts w:ascii="Times New Roman" w:hAnsi="Times New Roman"/>
          <w:szCs w:val="21"/>
        </w:rPr>
        <w:t xml:space="preserve"> 不可抗力是指监理人和委托人在订立合同时不可预见，在履行合</w:t>
      </w:r>
      <w:bookmarkStart w:id="549" w:name="_Toc300835182"/>
      <w:bookmarkStart w:id="550" w:name="_Toc247527781"/>
      <w:bookmarkStart w:id="551" w:name="_Toc184635118"/>
      <w:bookmarkStart w:id="552" w:name="_Toc247514180"/>
      <w:r>
        <w:rPr>
          <w:rFonts w:ascii="Times New Roman" w:hAnsi="Times New Roman"/>
          <w:szCs w:val="21"/>
        </w:rPr>
        <w:t>同过程中不可避免</w:t>
      </w:r>
      <w:bookmarkEnd w:id="549"/>
      <w:bookmarkEnd w:id="550"/>
      <w:bookmarkEnd w:id="551"/>
      <w:bookmarkEnd w:id="552"/>
      <w:r>
        <w:rPr>
          <w:rFonts w:ascii="Times New Roman" w:hAnsi="Times New Roman"/>
          <w:szCs w:val="21"/>
        </w:rPr>
        <w:t>发</w:t>
      </w:r>
      <w:bookmarkStart w:id="553" w:name="_Toc247527782"/>
      <w:bookmarkStart w:id="554" w:name="_Toc247514181"/>
      <w:bookmarkStart w:id="555" w:name="_Toc300835183"/>
      <w:r>
        <w:rPr>
          <w:rFonts w:ascii="Times New Roman" w:hAnsi="Times New Roman"/>
          <w:szCs w:val="21"/>
        </w:rPr>
        <w:t>生并不能克服的自然灾害和</w:t>
      </w:r>
      <w:bookmarkEnd w:id="553"/>
      <w:bookmarkEnd w:id="554"/>
      <w:bookmarkEnd w:id="555"/>
      <w:r>
        <w:rPr>
          <w:rFonts w:ascii="Times New Roman" w:hAnsi="Times New Roman"/>
          <w:szCs w:val="21"/>
        </w:rPr>
        <w:t>社会性突发事件，如地震、海啸、瘟疫、水灾、骚乱、暴动、战争和专用合同条款约定的其</w:t>
      </w:r>
      <w:r>
        <w:rPr>
          <w:rFonts w:ascii="Times New Roman" w:hAnsi="Times New Roman"/>
        </w:rPr>
        <w:t>他情形。</w:t>
      </w:r>
    </w:p>
    <w:p>
      <w:pPr>
        <w:spacing w:line="360" w:lineRule="auto"/>
        <w:ind w:firstLine="420" w:firstLineChars="200"/>
        <w:rPr>
          <w:rFonts w:ascii="Times New Roman" w:hAnsi="Times New Roman"/>
          <w:szCs w:val="21"/>
        </w:rPr>
      </w:pPr>
      <w:r>
        <w:rPr>
          <w:rFonts w:ascii="Times New Roman" w:hAnsi="Times New Roman"/>
        </w:rPr>
        <w:t>10.1.2</w:t>
      </w:r>
      <w:r>
        <w:rPr>
          <w:rFonts w:ascii="Times New Roman" w:hAnsi="Times New Roman"/>
          <w:szCs w:val="21"/>
        </w:rPr>
        <w:t xml:space="preserve"> 不可抗力发生后，委托人和监理人应及时认真统计所造成的损失，收集不可抗力造成损失的证据。合同双方对是否属于不可抗力或其损失的意见不一致的，由合同双方协商确定。</w:t>
      </w:r>
    </w:p>
    <w:p>
      <w:pPr>
        <w:pStyle w:val="4"/>
        <w:spacing w:line="240" w:lineRule="auto"/>
        <w:ind w:firstLine="137"/>
        <w:rPr>
          <w:rFonts w:ascii="Times New Roman" w:hAnsi="Times New Roman"/>
          <w:color w:val="000000"/>
        </w:rPr>
      </w:pPr>
      <w:bookmarkStart w:id="556" w:name="_Toc28574"/>
      <w:bookmarkStart w:id="557" w:name="_Toc482188625"/>
      <w:r>
        <w:rPr>
          <w:rFonts w:ascii="Times New Roman" w:hAnsi="Times New Roman"/>
          <w:color w:val="000000"/>
        </w:rPr>
        <w:t xml:space="preserve">10.2 </w:t>
      </w:r>
      <w:r>
        <w:rPr>
          <w:rFonts w:hint="eastAsia" w:ascii="Times New Roman" w:hAnsi="Times New Roman"/>
          <w:color w:val="000000"/>
        </w:rPr>
        <w:t>不可抗力的通知</w:t>
      </w:r>
      <w:bookmarkEnd w:id="556"/>
      <w:bookmarkEnd w:id="557"/>
    </w:p>
    <w:p>
      <w:pPr>
        <w:spacing w:line="360" w:lineRule="auto"/>
        <w:ind w:firstLine="420" w:firstLineChars="200"/>
        <w:rPr>
          <w:rFonts w:ascii="Times New Roman" w:hAnsi="Times New Roman"/>
          <w:szCs w:val="21"/>
        </w:rPr>
      </w:pPr>
      <w:r>
        <w:rPr>
          <w:rFonts w:ascii="Times New Roman" w:hAnsi="Times New Roman"/>
        </w:rPr>
        <w:t>10.2.1</w:t>
      </w:r>
      <w:r>
        <w:rPr>
          <w:rFonts w:ascii="Times New Roman" w:hAnsi="Times New Roman"/>
          <w:szCs w:val="21"/>
        </w:rPr>
        <w:t xml:space="preserve"> 合同一方当事人遇到不可抗力事件，使其履行合同义务受到阻碍时，应立即通知合同</w:t>
      </w:r>
      <w:bookmarkStart w:id="558" w:name="_Toc300835184"/>
      <w:bookmarkStart w:id="559" w:name="_Toc247514182"/>
      <w:bookmarkStart w:id="560" w:name="_Toc247527783"/>
      <w:r>
        <w:rPr>
          <w:rFonts w:ascii="Times New Roman" w:hAnsi="Times New Roman"/>
          <w:szCs w:val="21"/>
        </w:rPr>
        <w:t>另一方当事人，书面说明不</w:t>
      </w:r>
      <w:bookmarkEnd w:id="558"/>
      <w:bookmarkEnd w:id="559"/>
      <w:bookmarkEnd w:id="560"/>
      <w:r>
        <w:rPr>
          <w:rFonts w:ascii="Times New Roman" w:hAnsi="Times New Roman"/>
          <w:szCs w:val="21"/>
        </w:rPr>
        <w:t>可抗力和受阻碍的详细情况，并提供必要的证明。</w:t>
      </w:r>
    </w:p>
    <w:p>
      <w:pPr>
        <w:spacing w:line="360" w:lineRule="auto"/>
        <w:ind w:firstLine="420" w:firstLineChars="200"/>
        <w:rPr>
          <w:rFonts w:ascii="Times New Roman" w:hAnsi="Times New Roman"/>
          <w:szCs w:val="21"/>
        </w:rPr>
      </w:pPr>
      <w:r>
        <w:rPr>
          <w:rFonts w:ascii="Times New Roman" w:hAnsi="Times New Roman"/>
        </w:rPr>
        <w:t xml:space="preserve">10.2.2 </w:t>
      </w:r>
      <w:r>
        <w:rPr>
          <w:rFonts w:ascii="Times New Roman" w:hAnsi="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4"/>
        <w:spacing w:line="240" w:lineRule="auto"/>
        <w:ind w:firstLine="137"/>
        <w:rPr>
          <w:rFonts w:ascii="Times New Roman" w:hAnsi="Times New Roman"/>
          <w:color w:val="000000"/>
        </w:rPr>
      </w:pPr>
      <w:bookmarkStart w:id="561" w:name="_Toc482188626"/>
      <w:bookmarkStart w:id="562" w:name="_Toc14121"/>
      <w:r>
        <w:rPr>
          <w:rFonts w:ascii="Times New Roman" w:hAnsi="Times New Roman"/>
          <w:color w:val="000000"/>
        </w:rPr>
        <w:t xml:space="preserve">10.3 </w:t>
      </w:r>
      <w:r>
        <w:rPr>
          <w:rFonts w:hint="eastAsia" w:ascii="Times New Roman" w:hAnsi="Times New Roman"/>
          <w:color w:val="000000"/>
        </w:rPr>
        <w:t>不可抗力后果及其处理</w:t>
      </w:r>
      <w:bookmarkEnd w:id="561"/>
      <w:bookmarkEnd w:id="562"/>
    </w:p>
    <w:p>
      <w:pPr>
        <w:spacing w:line="360" w:lineRule="auto"/>
        <w:ind w:firstLine="420" w:firstLineChars="200"/>
        <w:rPr>
          <w:rFonts w:ascii="Times New Roman" w:hAnsi="Times New Roman"/>
          <w:szCs w:val="21"/>
        </w:rPr>
      </w:pPr>
      <w:r>
        <w:rPr>
          <w:rFonts w:ascii="Times New Roman" w:hAnsi="Times New Roman"/>
          <w:szCs w:val="21"/>
        </w:rPr>
        <w:t>10.3.1 不可抗力引起的后果及其损失，应由合同当事人依据法律规定各自承担。不可抗力发生前已完成的监理工作，应当按照合同约定进行支付。</w:t>
      </w:r>
    </w:p>
    <w:p>
      <w:pPr>
        <w:spacing w:line="360" w:lineRule="auto"/>
        <w:ind w:firstLine="420" w:firstLineChars="200"/>
        <w:rPr>
          <w:rFonts w:ascii="Times New Roman" w:hAnsi="Times New Roman"/>
          <w:szCs w:val="21"/>
        </w:rPr>
      </w:pPr>
      <w:r>
        <w:rPr>
          <w:rFonts w:ascii="Times New Roman" w:hAnsi="Times New Roman"/>
          <w:szCs w:val="21"/>
        </w:rPr>
        <w:t>10.3.2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rPr>
      </w:pPr>
      <w:r>
        <w:rPr>
          <w:rFonts w:ascii="Times New Roman" w:hAnsi="Times New Roman"/>
          <w:szCs w:val="21"/>
        </w:rPr>
        <w:t>10.3.3 因一方当事人迟延履行合同义务，致使迟延履行期间遭遇不可抗力的，应由该当事人承担全部损失。</w:t>
      </w:r>
    </w:p>
    <w:p>
      <w:pPr>
        <w:pStyle w:val="3"/>
        <w:rPr>
          <w:rFonts w:ascii="Times New Roman" w:hAnsi="Times New Roman"/>
        </w:rPr>
      </w:pPr>
      <w:bookmarkStart w:id="563" w:name="_Toc10392"/>
      <w:bookmarkStart w:id="564" w:name="_Toc482188627"/>
      <w:r>
        <w:rPr>
          <w:rFonts w:ascii="Times New Roman" w:hAnsi="Times New Roman"/>
        </w:rPr>
        <w:t>11. 违约</w:t>
      </w:r>
      <w:bookmarkEnd w:id="563"/>
      <w:bookmarkEnd w:id="564"/>
    </w:p>
    <w:p>
      <w:pPr>
        <w:pStyle w:val="4"/>
        <w:spacing w:line="240" w:lineRule="auto"/>
        <w:ind w:firstLine="137"/>
        <w:rPr>
          <w:rFonts w:ascii="Times New Roman" w:hAnsi="Times New Roman"/>
          <w:color w:val="000000"/>
        </w:rPr>
      </w:pPr>
      <w:bookmarkStart w:id="565" w:name="_Toc8711"/>
      <w:bookmarkStart w:id="566" w:name="_Toc482188628"/>
      <w:r>
        <w:rPr>
          <w:rFonts w:ascii="Times New Roman" w:hAnsi="Times New Roman"/>
          <w:color w:val="000000"/>
        </w:rPr>
        <w:t xml:space="preserve">11.1 </w:t>
      </w:r>
      <w:r>
        <w:rPr>
          <w:rFonts w:hint="eastAsia" w:ascii="Times New Roman" w:hAnsi="Times New Roman"/>
          <w:color w:val="000000"/>
        </w:rPr>
        <w:t>监理人违约</w:t>
      </w:r>
      <w:bookmarkEnd w:id="565"/>
      <w:bookmarkEnd w:id="566"/>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合同履行中发生下列情况之一的，属监理人违约：</w:t>
      </w:r>
    </w:p>
    <w:p>
      <w:pPr>
        <w:spacing w:line="360" w:lineRule="auto"/>
        <w:ind w:firstLine="420" w:firstLineChars="200"/>
        <w:rPr>
          <w:rFonts w:ascii="Times New Roman" w:hAnsi="Times New Roman"/>
        </w:rPr>
      </w:pPr>
      <w:r>
        <w:rPr>
          <w:rFonts w:ascii="Times New Roman" w:hAnsi="Times New Roman"/>
        </w:rPr>
        <w:t>（1）监理文件不符合规范标准以及合同约定；</w:t>
      </w:r>
    </w:p>
    <w:p>
      <w:pPr>
        <w:spacing w:line="360" w:lineRule="auto"/>
        <w:ind w:firstLine="420" w:firstLineChars="200"/>
        <w:rPr>
          <w:rFonts w:ascii="Times New Roman" w:hAnsi="Times New Roman"/>
        </w:rPr>
      </w:pPr>
      <w:r>
        <w:rPr>
          <w:rFonts w:ascii="Times New Roman" w:hAnsi="Times New Roman"/>
        </w:rPr>
        <w:t>（2）监理人转让监理工作；</w:t>
      </w:r>
    </w:p>
    <w:p>
      <w:pPr>
        <w:spacing w:line="360" w:lineRule="auto"/>
        <w:ind w:firstLine="420" w:firstLineChars="200"/>
        <w:rPr>
          <w:rFonts w:ascii="Times New Roman" w:hAnsi="Times New Roman"/>
        </w:rPr>
      </w:pPr>
      <w:r>
        <w:rPr>
          <w:rFonts w:ascii="Times New Roman" w:hAnsi="Times New Roman"/>
        </w:rPr>
        <w:t>（3）监理人未按合同约定实施监理并造成工程损失；</w:t>
      </w:r>
    </w:p>
    <w:p>
      <w:pPr>
        <w:spacing w:line="360" w:lineRule="auto"/>
        <w:ind w:firstLine="420" w:firstLineChars="200"/>
        <w:rPr>
          <w:rFonts w:ascii="Times New Roman" w:hAnsi="Times New Roman"/>
        </w:rPr>
      </w:pPr>
      <w:r>
        <w:rPr>
          <w:rFonts w:ascii="Times New Roman" w:hAnsi="Times New Roman"/>
        </w:rPr>
        <w:t>（4）监理人无法履行或停止履行合同；</w:t>
      </w:r>
    </w:p>
    <w:p>
      <w:pPr>
        <w:spacing w:line="360" w:lineRule="auto"/>
        <w:ind w:firstLine="420" w:firstLineChars="200"/>
        <w:rPr>
          <w:rFonts w:ascii="Times New Roman" w:hAnsi="Times New Roman"/>
          <w:szCs w:val="21"/>
        </w:rPr>
      </w:pPr>
      <w:r>
        <w:rPr>
          <w:rFonts w:ascii="Times New Roman" w:hAnsi="Times New Roman"/>
        </w:rPr>
        <w:t>（5）监理人</w:t>
      </w:r>
      <w:r>
        <w:rPr>
          <w:rFonts w:ascii="Times New Roman" w:hAnsi="Times New Roman"/>
          <w:szCs w:val="21"/>
        </w:rPr>
        <w:t>不履行合同约定的其他义务。</w:t>
      </w:r>
    </w:p>
    <w:p>
      <w:pPr>
        <w:spacing w:line="360" w:lineRule="auto"/>
        <w:ind w:firstLine="420" w:firstLineChars="200"/>
        <w:rPr>
          <w:rFonts w:ascii="Times New Roman" w:hAnsi="Times New Roman"/>
        </w:rPr>
      </w:pPr>
      <w:r>
        <w:rPr>
          <w:rFonts w:ascii="Times New Roman" w:hAnsi="Times New Roman"/>
        </w:rPr>
        <w:t>11.1.2</w:t>
      </w:r>
      <w:r>
        <w:rPr>
          <w:rFonts w:ascii="Times New Roman" w:hAnsi="Times New Roman"/>
          <w:szCs w:val="21"/>
        </w:rPr>
        <w:t xml:space="preserve"> </w:t>
      </w:r>
      <w:r>
        <w:rPr>
          <w:rFonts w:ascii="Times New Roman" w:hAnsi="Times New Roman"/>
        </w:rPr>
        <w:t>监理人发生违约情况时，委托人可向监理人发出整改通知，要求其在限定期限内纠正；逾期仍不纠正的，</w:t>
      </w:r>
      <w:r>
        <w:rPr>
          <w:rFonts w:ascii="Times New Roman" w:hAnsi="Times New Roman"/>
          <w:szCs w:val="21"/>
        </w:rPr>
        <w:t>委托人有权解除合同并向监理人发出解除合同通知。</w:t>
      </w:r>
      <w:r>
        <w:rPr>
          <w:rFonts w:ascii="Times New Roman" w:hAnsi="Times New Roman"/>
        </w:rPr>
        <w:t>监理人应当承担由于违约所造成的费用增加、周期延误和委托人损失等。</w:t>
      </w:r>
    </w:p>
    <w:p>
      <w:pPr>
        <w:pStyle w:val="4"/>
        <w:spacing w:line="240" w:lineRule="auto"/>
        <w:ind w:firstLine="137"/>
        <w:rPr>
          <w:rFonts w:ascii="Times New Roman" w:hAnsi="Times New Roman"/>
          <w:color w:val="000000"/>
        </w:rPr>
      </w:pPr>
      <w:bookmarkStart w:id="567" w:name="_Toc482188629"/>
      <w:bookmarkStart w:id="568" w:name="_Toc6835"/>
      <w:r>
        <w:rPr>
          <w:rFonts w:ascii="Times New Roman" w:hAnsi="Times New Roman"/>
          <w:color w:val="000000"/>
        </w:rPr>
        <w:t xml:space="preserve">12.2 </w:t>
      </w:r>
      <w:r>
        <w:rPr>
          <w:rFonts w:hint="eastAsia" w:ascii="Times New Roman" w:hAnsi="Times New Roman"/>
          <w:color w:val="000000"/>
        </w:rPr>
        <w:t>委托人违约</w:t>
      </w:r>
      <w:bookmarkEnd w:id="567"/>
      <w:bookmarkEnd w:id="568"/>
    </w:p>
    <w:p>
      <w:pPr>
        <w:spacing w:line="360" w:lineRule="auto"/>
        <w:ind w:firstLine="420" w:firstLineChars="200"/>
        <w:rPr>
          <w:rFonts w:ascii="Times New Roman" w:hAnsi="Times New Roman"/>
          <w:szCs w:val="21"/>
        </w:rPr>
      </w:pPr>
      <w:r>
        <w:rPr>
          <w:rFonts w:ascii="Times New Roman" w:hAnsi="Times New Roman"/>
        </w:rPr>
        <w:t>12.2.1</w:t>
      </w:r>
      <w:r>
        <w:rPr>
          <w:rFonts w:ascii="Times New Roman" w:hAnsi="Times New Roman"/>
          <w:szCs w:val="21"/>
        </w:rPr>
        <w:t>合同履行中发生下列情况之一的，属委托人违约：</w:t>
      </w:r>
    </w:p>
    <w:p>
      <w:pPr>
        <w:spacing w:line="360" w:lineRule="auto"/>
        <w:ind w:firstLine="420" w:firstLineChars="200"/>
        <w:rPr>
          <w:rFonts w:ascii="Times New Roman" w:hAnsi="Times New Roman"/>
        </w:rPr>
      </w:pPr>
      <w:r>
        <w:rPr>
          <w:rFonts w:ascii="Times New Roman" w:hAnsi="Times New Roman"/>
        </w:rPr>
        <w:t>（1）</w:t>
      </w:r>
      <w:bookmarkStart w:id="569" w:name="_Toc247527787"/>
      <w:bookmarkStart w:id="570" w:name="_Toc247514186"/>
      <w:bookmarkStart w:id="571" w:name="_Toc300835188"/>
      <w:r>
        <w:rPr>
          <w:rFonts w:ascii="Times New Roman" w:hAnsi="Times New Roman"/>
        </w:rPr>
        <w:t>委托人未按合同约定支</w:t>
      </w:r>
      <w:bookmarkEnd w:id="569"/>
      <w:bookmarkEnd w:id="570"/>
      <w:bookmarkEnd w:id="571"/>
      <w:r>
        <w:rPr>
          <w:rFonts w:ascii="Times New Roman" w:hAnsi="Times New Roman"/>
        </w:rPr>
        <w:t>付监理报酬；</w:t>
      </w:r>
    </w:p>
    <w:p>
      <w:pPr>
        <w:spacing w:line="360" w:lineRule="auto"/>
        <w:ind w:firstLine="420" w:firstLineChars="200"/>
        <w:rPr>
          <w:rFonts w:ascii="Times New Roman" w:hAnsi="Times New Roman"/>
        </w:rPr>
      </w:pPr>
      <w:r>
        <w:rPr>
          <w:rFonts w:ascii="Times New Roman" w:hAnsi="Times New Roman"/>
        </w:rPr>
        <w:t>（2）委托人原因造成监理停止；</w:t>
      </w:r>
    </w:p>
    <w:p>
      <w:pPr>
        <w:spacing w:line="360" w:lineRule="auto"/>
        <w:ind w:firstLine="420" w:firstLineChars="200"/>
        <w:rPr>
          <w:rFonts w:ascii="Times New Roman" w:hAnsi="Times New Roman"/>
        </w:rPr>
      </w:pPr>
      <w:r>
        <w:rPr>
          <w:rFonts w:ascii="Times New Roman" w:hAnsi="Times New Roman"/>
        </w:rPr>
        <w:t>（3）委托人无法履行或停止履行合同；</w:t>
      </w:r>
    </w:p>
    <w:p>
      <w:pPr>
        <w:spacing w:line="360" w:lineRule="auto"/>
        <w:ind w:firstLine="420" w:firstLineChars="200"/>
        <w:rPr>
          <w:rFonts w:ascii="Times New Roman" w:hAnsi="Times New Roman"/>
          <w:szCs w:val="21"/>
        </w:rPr>
      </w:pPr>
      <w:r>
        <w:rPr>
          <w:rFonts w:ascii="Times New Roman" w:hAnsi="Times New Roman"/>
        </w:rPr>
        <w:t>（4）委托人不履</w:t>
      </w:r>
      <w:r>
        <w:rPr>
          <w:rFonts w:ascii="Times New Roman" w:hAnsi="Times New Roman"/>
          <w:szCs w:val="21"/>
        </w:rPr>
        <w:t>行合同约定的其他义务。</w:t>
      </w:r>
    </w:p>
    <w:p>
      <w:pPr>
        <w:spacing w:line="360" w:lineRule="auto"/>
        <w:ind w:firstLine="420" w:firstLineChars="200"/>
        <w:rPr>
          <w:rFonts w:ascii="Times New Roman" w:hAnsi="Times New Roman"/>
          <w:szCs w:val="21"/>
        </w:rPr>
      </w:pPr>
      <w:r>
        <w:rPr>
          <w:rFonts w:ascii="Times New Roman" w:hAnsi="Times New Roman"/>
        </w:rPr>
        <w:t>11.2.2委托人发生违约情况时，监理人可向委托人发出暂停监理通知，要求其在限定期限内纠正；逾期仍不纠正的，</w:t>
      </w:r>
      <w:r>
        <w:rPr>
          <w:rFonts w:ascii="Times New Roman" w:hAnsi="Times New Roman"/>
          <w:szCs w:val="21"/>
        </w:rPr>
        <w:t>监理人有权解除合同并向委托人发出解除合同通知。</w:t>
      </w:r>
      <w:r>
        <w:rPr>
          <w:rFonts w:ascii="Times New Roman" w:hAnsi="Times New Roman"/>
        </w:rPr>
        <w:t>委托人应当承担由于违约所造成的费用增加、周期延误和监理人损失等。</w:t>
      </w:r>
    </w:p>
    <w:p>
      <w:pPr>
        <w:pStyle w:val="4"/>
        <w:spacing w:line="240" w:lineRule="auto"/>
        <w:ind w:firstLine="137"/>
        <w:rPr>
          <w:rFonts w:ascii="Times New Roman" w:hAnsi="Times New Roman"/>
          <w:color w:val="000000"/>
        </w:rPr>
      </w:pPr>
      <w:bookmarkStart w:id="572" w:name="_Toc22331"/>
      <w:bookmarkStart w:id="573" w:name="_Toc482188630"/>
      <w:r>
        <w:rPr>
          <w:rFonts w:ascii="Times New Roman" w:hAnsi="Times New Roman"/>
          <w:color w:val="000000"/>
        </w:rPr>
        <w:t xml:space="preserve">11.3 </w:t>
      </w:r>
      <w:r>
        <w:rPr>
          <w:rFonts w:hint="eastAsia" w:ascii="Times New Roman" w:hAnsi="Times New Roman"/>
          <w:color w:val="000000"/>
        </w:rPr>
        <w:t>第三人造成的违约</w:t>
      </w:r>
      <w:bookmarkEnd w:id="572"/>
      <w:bookmarkEnd w:id="573"/>
    </w:p>
    <w:p>
      <w:pPr>
        <w:spacing w:line="360" w:lineRule="auto"/>
        <w:ind w:firstLine="420" w:firstLineChars="20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574" w:name="_Toc247514187"/>
      <w:bookmarkStart w:id="575" w:name="_Toc247527788"/>
      <w:bookmarkStart w:id="576" w:name="_Toc300835189"/>
      <w:r>
        <w:rPr>
          <w:rFonts w:ascii="Times New Roman" w:hAnsi="Times New Roman"/>
          <w:szCs w:val="21"/>
        </w:rPr>
        <w:t>方当事人和第三人之间的纠纷</w:t>
      </w:r>
      <w:bookmarkEnd w:id="574"/>
      <w:bookmarkEnd w:id="575"/>
      <w:bookmarkEnd w:id="576"/>
      <w:r>
        <w:rPr>
          <w:rFonts w:ascii="Times New Roman" w:hAnsi="Times New Roman"/>
          <w:szCs w:val="21"/>
        </w:rPr>
        <w:t>，依照法律规定或者按照约定解决。</w:t>
      </w:r>
    </w:p>
    <w:p>
      <w:pPr>
        <w:pStyle w:val="3"/>
        <w:rPr>
          <w:rFonts w:ascii="Times New Roman" w:hAnsi="Times New Roman"/>
        </w:rPr>
      </w:pPr>
      <w:bookmarkStart w:id="577" w:name="_Toc482188631"/>
      <w:bookmarkStart w:id="578" w:name="_Toc28078"/>
      <w:r>
        <w:rPr>
          <w:rFonts w:ascii="Times New Roman" w:hAnsi="Times New Roman"/>
        </w:rPr>
        <w:t>12. 争议的解决</w:t>
      </w:r>
      <w:bookmarkEnd w:id="577"/>
      <w:bookmarkEnd w:id="578"/>
    </w:p>
    <w:p>
      <w:pPr>
        <w:spacing w:line="360" w:lineRule="auto"/>
        <w:ind w:firstLine="420" w:firstLineChars="200"/>
        <w:rPr>
          <w:rFonts w:ascii="Times New Roman" w:hAnsi="Times New Roman"/>
          <w:szCs w:val="21"/>
        </w:rPr>
      </w:pPr>
      <w:r>
        <w:rPr>
          <w:rFonts w:ascii="Times New Roman" w:hAnsi="Times New Roman"/>
          <w:szCs w:val="21"/>
        </w:rPr>
        <w:t>委托人和监理人在履行合同中发生争议的，可以友好协商解决</w:t>
      </w:r>
      <w:bookmarkStart w:id="579" w:name="_Toc184635121"/>
      <w:bookmarkStart w:id="580" w:name="_Toc300835195"/>
      <w:bookmarkStart w:id="581" w:name="_Toc247527794"/>
      <w:bookmarkStart w:id="582" w:name="_Toc247514193"/>
      <w:r>
        <w:rPr>
          <w:rFonts w:ascii="Times New Roman" w:hAnsi="Times New Roman"/>
          <w:szCs w:val="21"/>
        </w:rPr>
        <w:t>。合同当事</w:t>
      </w:r>
      <w:bookmarkEnd w:id="579"/>
      <w:bookmarkEnd w:id="580"/>
      <w:bookmarkEnd w:id="581"/>
      <w:bookmarkEnd w:id="582"/>
      <w:r>
        <w:rPr>
          <w:rFonts w:ascii="Times New Roman" w:hAnsi="Times New Roman"/>
          <w:szCs w:val="21"/>
        </w:rPr>
        <w:t>人</w:t>
      </w:r>
      <w:bookmarkStart w:id="583" w:name="_Toc300835196"/>
      <w:bookmarkStart w:id="584" w:name="_Toc247514194"/>
      <w:bookmarkStart w:id="585" w:name="_Toc247527795"/>
      <w:r>
        <w:rPr>
          <w:rFonts w:ascii="Times New Roman" w:hAnsi="Times New Roman"/>
          <w:szCs w:val="21"/>
        </w:rPr>
        <w:t>友好协商解决不成</w:t>
      </w:r>
      <w:bookmarkEnd w:id="583"/>
      <w:bookmarkEnd w:id="584"/>
      <w:bookmarkEnd w:id="585"/>
      <w:r>
        <w:rPr>
          <w:rFonts w:ascii="Times New Roman" w:hAnsi="Times New Roman"/>
          <w:szCs w:val="21"/>
        </w:rPr>
        <w:t>的，可在专用合同条款中约定下列一种方式解决：</w:t>
      </w:r>
    </w:p>
    <w:p>
      <w:pPr>
        <w:spacing w:line="360" w:lineRule="auto"/>
        <w:ind w:firstLine="420" w:firstLineChars="200"/>
        <w:rPr>
          <w:rFonts w:ascii="Times New Roman" w:hAnsi="Times New Roman"/>
        </w:rPr>
      </w:pPr>
      <w:r>
        <w:rPr>
          <w:rFonts w:ascii="Times New Roman" w:hAnsi="Times New Roman"/>
        </w:rPr>
        <w:t>（1）向约定的仲裁委员会申请仲裁；</w:t>
      </w:r>
    </w:p>
    <w:p>
      <w:pPr>
        <w:spacing w:line="360" w:lineRule="auto"/>
        <w:ind w:firstLine="420" w:firstLineChars="200"/>
        <w:rPr>
          <w:rFonts w:ascii="Times New Roman" w:hAnsi="Times New Roman"/>
          <w:szCs w:val="21"/>
        </w:rPr>
      </w:pPr>
      <w:r>
        <w:rPr>
          <w:rFonts w:ascii="Times New Roman" w:hAnsi="Times New Roman"/>
        </w:rPr>
        <w:t>（2）向有管</w:t>
      </w:r>
      <w:r>
        <w:rPr>
          <w:rFonts w:ascii="Times New Roman" w:hAnsi="Times New Roman"/>
          <w:szCs w:val="21"/>
        </w:rPr>
        <w:t>辖权的人民法院提起诉讼。</w:t>
      </w:r>
    </w:p>
    <w:p>
      <w:pPr>
        <w:widowControl/>
        <w:jc w:val="left"/>
        <w:rPr>
          <w:rFonts w:ascii="Times New Roman" w:hAnsi="Times New Roman" w:eastAsia="黑体"/>
          <w:b/>
          <w:bCs/>
          <w:sz w:val="32"/>
          <w:szCs w:val="32"/>
        </w:rPr>
      </w:pPr>
      <w:r>
        <w:rPr>
          <w:rFonts w:ascii="Times New Roman" w:hAnsi="Times New Roman"/>
        </w:rPr>
        <w:br w:type="page"/>
      </w:r>
    </w:p>
    <w:p>
      <w:pPr>
        <w:pStyle w:val="3"/>
        <w:ind w:firstLine="643" w:firstLineChars="200"/>
        <w:jc w:val="center"/>
        <w:rPr>
          <w:rFonts w:ascii="Times New Roman" w:hAnsi="Times New Roman"/>
          <w:color w:val="000000"/>
        </w:rPr>
      </w:pPr>
      <w:bookmarkStart w:id="586" w:name="_Toc18211"/>
      <w:bookmarkStart w:id="587" w:name="_Toc152045767"/>
      <w:bookmarkStart w:id="588" w:name="_Toc179632785"/>
      <w:bookmarkStart w:id="589" w:name="_Toc144974826"/>
      <w:bookmarkStart w:id="590" w:name="_Toc152042546"/>
      <w:bookmarkStart w:id="591" w:name="_Toc247514197"/>
      <w:bookmarkStart w:id="592" w:name="_Toc144974578"/>
      <w:bookmarkStart w:id="593" w:name="_Toc152045610"/>
      <w:bookmarkStart w:id="594" w:name="_Toc152042388"/>
      <w:bookmarkStart w:id="595" w:name="_Toc184635122"/>
      <w:bookmarkStart w:id="596" w:name="_Toc300835199"/>
      <w:bookmarkStart w:id="597" w:name="_Toc247527798"/>
      <w:r>
        <w:rPr>
          <w:rFonts w:ascii="Times New Roman" w:hAnsi="Times New Roman"/>
          <w:color w:val="000000"/>
        </w:rPr>
        <w:t>第二节专用合同条款</w:t>
      </w:r>
      <w:bookmarkEnd w:id="586"/>
    </w:p>
    <w:p>
      <w:pPr>
        <w:keepNext/>
        <w:keepLines/>
        <w:pageBreakBefore w:val="0"/>
        <w:widowControl w:val="0"/>
        <w:kinsoku/>
        <w:wordWrap/>
        <w:overflowPunct/>
        <w:topLinePunct w:val="0"/>
        <w:autoSpaceDE/>
        <w:autoSpaceDN/>
        <w:bidi w:val="0"/>
        <w:adjustRightInd/>
        <w:snapToGrid/>
        <w:spacing w:line="413" w:lineRule="auto"/>
        <w:ind w:firstLine="108"/>
        <w:textAlignment w:val="auto"/>
        <w:outlineLvl w:val="9"/>
        <w:rPr>
          <w:rFonts w:ascii="Times New Roman" w:hAnsi="Times New Roman"/>
          <w:color w:val="000000"/>
        </w:rPr>
      </w:pPr>
      <w:r>
        <w:rPr>
          <w:rFonts w:ascii="Times New Roman" w:hAnsi="Times New Roman"/>
          <w:color w:val="000000"/>
        </w:rPr>
        <w:br w:type="page"/>
      </w:r>
      <w:bookmarkStart w:id="598" w:name="_Toc246996319"/>
      <w:bookmarkEnd w:id="598"/>
      <w:bookmarkStart w:id="599" w:name="_Toc369531675"/>
      <w:bookmarkEnd w:id="599"/>
      <w:bookmarkStart w:id="600" w:name="_Toc29298"/>
      <w:bookmarkEnd w:id="600"/>
      <w:bookmarkStart w:id="601" w:name="_Toc246997062"/>
      <w:bookmarkEnd w:id="601"/>
      <w:bookmarkStart w:id="602" w:name="_Toc9766"/>
      <w:bookmarkEnd w:id="602"/>
      <w:bookmarkStart w:id="603" w:name="_Toc296602565"/>
      <w:bookmarkEnd w:id="603"/>
      <w:bookmarkStart w:id="604" w:name="_Toc247085834"/>
      <w:bookmarkEnd w:id="604"/>
      <w:bookmarkStart w:id="605" w:name="_Toc184635117"/>
      <w:bookmarkEnd w:id="605"/>
      <w:bookmarkStart w:id="606" w:name="_Toc369531676"/>
      <w:bookmarkEnd w:id="606"/>
    </w:p>
    <w:p>
      <w:pPr>
        <w:pStyle w:val="3"/>
        <w:ind w:firstLine="643" w:firstLineChars="200"/>
        <w:jc w:val="center"/>
        <w:rPr>
          <w:rFonts w:ascii="Times New Roman" w:hAnsi="Times New Roman"/>
          <w:color w:val="000000"/>
        </w:rPr>
      </w:pPr>
      <w:bookmarkStart w:id="607" w:name="_Toc8587"/>
      <w:r>
        <w:rPr>
          <w:rFonts w:ascii="Times New Roman" w:hAnsi="Times New Roman"/>
          <w:color w:val="000000"/>
        </w:rPr>
        <w:t>第三节合同附件格式</w:t>
      </w:r>
      <w:bookmarkEnd w:id="607"/>
    </w:p>
    <w:p>
      <w:pPr>
        <w:pStyle w:val="4"/>
        <w:ind w:firstLine="137"/>
        <w:jc w:val="left"/>
        <w:rPr>
          <w:rFonts w:ascii="Times New Roman" w:hAnsi="Times New Roman"/>
          <w:color w:val="000000"/>
        </w:rPr>
      </w:pPr>
      <w:r>
        <w:rPr>
          <w:rFonts w:ascii="Times New Roman" w:hAnsi="Times New Roman"/>
          <w:color w:val="000000"/>
        </w:rPr>
        <w:br w:type="page"/>
      </w:r>
      <w:bookmarkStart w:id="608" w:name="_Toc26220"/>
      <w:r>
        <w:rPr>
          <w:rFonts w:ascii="Times New Roman" w:hAnsi="Times New Roman"/>
          <w:color w:val="000000"/>
        </w:rPr>
        <w:t>附件一：合同协议书</w:t>
      </w:r>
      <w:bookmarkEnd w:id="608"/>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（委托人名称，以下简称“委托人”）为实施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（监理人名称，以下简称“监理人”）对该项目监理投标。委托人和监理人共同达成如下协议。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（2）投标函及投标函附录；</w:t>
      </w:r>
    </w:p>
    <w:p>
      <w:pPr>
        <w:spacing w:line="440" w:lineRule="exact"/>
        <w:ind w:firstLine="420" w:firstLineChars="200"/>
        <w:rPr>
          <w:rFonts w:ascii="Times New Roman" w:hAnsi="Times New Roman"/>
          <w:szCs w:val="21"/>
        </w:rPr>
      </w:pPr>
      <w:r>
        <w:rPr>
          <w:rFonts w:ascii="Times New Roman" w:hAnsi="Times New Roman"/>
          <w:szCs w:val="21"/>
        </w:rPr>
        <w:t>（3）专用合同条款；</w:t>
      </w:r>
    </w:p>
    <w:p>
      <w:pPr>
        <w:spacing w:line="440" w:lineRule="exact"/>
        <w:ind w:firstLine="420" w:firstLineChars="200"/>
        <w:rPr>
          <w:rFonts w:ascii="Times New Roman" w:hAnsi="Times New Roman"/>
          <w:szCs w:val="21"/>
        </w:rPr>
      </w:pPr>
      <w:r>
        <w:rPr>
          <w:rFonts w:ascii="Times New Roman" w:hAnsi="Times New Roman"/>
          <w:szCs w:val="21"/>
        </w:rPr>
        <w:t>（4）通用合同条款；</w:t>
      </w:r>
    </w:p>
    <w:p>
      <w:pPr>
        <w:spacing w:line="440" w:lineRule="exact"/>
        <w:ind w:firstLine="420" w:firstLineChars="200"/>
        <w:rPr>
          <w:rFonts w:ascii="Times New Roman" w:hAnsi="Times New Roman"/>
          <w:szCs w:val="21"/>
        </w:rPr>
      </w:pPr>
      <w:r>
        <w:rPr>
          <w:rFonts w:ascii="Times New Roman" w:hAnsi="Times New Roman"/>
          <w:szCs w:val="21"/>
        </w:rPr>
        <w:t>（5）委托人要求；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）监理报酬清单；</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）监理大纲；</w:t>
      </w:r>
    </w:p>
    <w:p>
      <w:pPr>
        <w:spacing w:line="440" w:lineRule="exact"/>
        <w:ind w:firstLine="420" w:firstLineChars="200"/>
        <w:rPr>
          <w:rFonts w:ascii="Times New Roman" w:hAnsi="Times New Roman"/>
          <w:szCs w:val="21"/>
        </w:rPr>
      </w:pPr>
      <w:r>
        <w:rPr>
          <w:rFonts w:ascii="Times New Roman" w:hAnsi="Times New Roman"/>
          <w:szCs w:val="21"/>
        </w:rPr>
        <w:t>（8）其他合同文件。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总监理工程师：</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5. 监理工作质量符合的标准和要求：</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6. 监理人承诺按合同约定承担工程的监理工作。</w:t>
      </w:r>
    </w:p>
    <w:p>
      <w:pPr>
        <w:spacing w:line="440" w:lineRule="exact"/>
        <w:ind w:firstLine="420" w:firstLineChars="200"/>
        <w:rPr>
          <w:rFonts w:ascii="Times New Roman" w:hAnsi="Times New Roman"/>
          <w:szCs w:val="21"/>
        </w:rPr>
      </w:pPr>
      <w:r>
        <w:rPr>
          <w:rFonts w:ascii="Times New Roman" w:hAnsi="Times New Roman"/>
          <w:szCs w:val="21"/>
        </w:rPr>
        <w:t>7. 委托人承诺按合同约定的条件、时间和方式向监理人支付合同价款。</w:t>
      </w:r>
    </w:p>
    <w:p>
      <w:pPr>
        <w:spacing w:line="440" w:lineRule="exact"/>
        <w:ind w:firstLine="420" w:firstLineChars="200"/>
        <w:rPr>
          <w:rFonts w:ascii="Times New Roman" w:hAnsi="Times New Roman"/>
          <w:szCs w:val="21"/>
        </w:rPr>
      </w:pPr>
      <w:r>
        <w:rPr>
          <w:rFonts w:ascii="Times New Roman" w:hAnsi="Times New Roman"/>
          <w:szCs w:val="21"/>
        </w:rPr>
        <w:t>8. 监理人计划开始监理日期：</w:t>
      </w:r>
      <w:r>
        <w:rPr>
          <w:rFonts w:ascii="Times New Roman" w:hAnsi="Times New Roman"/>
          <w:szCs w:val="21"/>
          <w:u w:val="single"/>
        </w:rPr>
        <w:t xml:space="preserve">             </w:t>
      </w:r>
      <w:r>
        <w:rPr>
          <w:rFonts w:ascii="Times New Roman" w:hAnsi="Times New Roman"/>
          <w:szCs w:val="21"/>
        </w:rPr>
        <w:t>，实际日期按照委托人在开始监理通知中载明的开始监理日期为准。监理服务期限为</w:t>
      </w:r>
      <w:r>
        <w:rPr>
          <w:rFonts w:ascii="Times New Roman" w:hAnsi="Times New Roman"/>
          <w:szCs w:val="21"/>
          <w:u w:val="single"/>
        </w:rPr>
        <w:t xml:space="preserve">    </w:t>
      </w:r>
      <w:r>
        <w:rPr>
          <w:rFonts w:ascii="Times New Roman" w:hAnsi="Times New Roman"/>
          <w:szCs w:val="21"/>
        </w:rPr>
        <w:t>天。</w:t>
      </w:r>
    </w:p>
    <w:p>
      <w:pPr>
        <w:spacing w:line="440" w:lineRule="exact"/>
        <w:ind w:firstLine="420" w:firstLineChars="200"/>
        <w:rPr>
          <w:rFonts w:ascii="Times New Roman" w:hAnsi="Times New Roman"/>
          <w:szCs w:val="21"/>
        </w:rPr>
      </w:pPr>
      <w:bookmarkStart w:id="609" w:name="_Toc144974830"/>
      <w:bookmarkStart w:id="610" w:name="_Toc152042550"/>
      <w:r>
        <w:rPr>
          <w:rFonts w:ascii="Times New Roman" w:hAnsi="Times New Roman"/>
          <w:szCs w:val="21"/>
        </w:rPr>
        <w:t>9.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10. 合同未尽事宜，双方另行签订补充协议。补充协议是合同的组成部分。</w:t>
      </w:r>
      <w:bookmarkEnd w:id="609"/>
      <w:bookmarkEnd w:id="610"/>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委托人：</w:t>
      </w:r>
      <w:r>
        <w:rPr>
          <w:rFonts w:ascii="Times New Roman" w:hAnsi="Times New Roman"/>
          <w:szCs w:val="21"/>
          <w:u w:val="single"/>
        </w:rPr>
        <w:t xml:space="preserve">                </w:t>
      </w:r>
      <w:r>
        <w:rPr>
          <w:rFonts w:ascii="Times New Roman" w:hAnsi="Times New Roman"/>
          <w:szCs w:val="21"/>
        </w:rPr>
        <w:t>（盖单位章）      监理人：</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    法定代表人或其委托代理人：</w:t>
      </w:r>
      <w:r>
        <w:rPr>
          <w:rFonts w:ascii="Times New Roman" w:hAnsi="Times New Roman"/>
          <w:szCs w:val="21"/>
          <w:u w:val="single"/>
        </w:rPr>
        <w:t xml:space="preserve">      </w:t>
      </w:r>
      <w:r>
        <w:rPr>
          <w:rFonts w:ascii="Times New Roman" w:hAnsi="Times New Roman"/>
          <w:szCs w:val="21"/>
        </w:rPr>
        <w:t>（签字）</w:t>
      </w:r>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 xml:space="preserve"> 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日</w:t>
      </w:r>
    </w:p>
    <w:p>
      <w:pPr>
        <w:spacing w:line="440" w:lineRule="exact"/>
        <w:rPr>
          <w:rFonts w:ascii="Times New Roman" w:hAnsi="Times New Roman"/>
          <w:szCs w:val="21"/>
        </w:rPr>
      </w:pPr>
      <w:bookmarkStart w:id="611" w:name="_Toc144974831"/>
      <w:bookmarkEnd w:id="611"/>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4"/>
        <w:ind w:firstLine="137"/>
        <w:rPr>
          <w:rFonts w:ascii="Times New Roman" w:hAnsi="Times New Roman"/>
        </w:rPr>
      </w:pPr>
      <w:bookmarkStart w:id="612" w:name="_Toc16941"/>
      <w:bookmarkStart w:id="613" w:name="_Toc491798523"/>
      <w:r>
        <w:rPr>
          <w:rFonts w:ascii="Times New Roman" w:hAnsi="Times New Roman"/>
        </w:rPr>
        <w:t>附件二：履约保证金格式</w:t>
      </w:r>
      <w:bookmarkEnd w:id="612"/>
      <w:bookmarkEnd w:id="613"/>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（委托人名称）：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鉴于（委托人名称，以下简称“委托人”）接受（</w:t>
      </w:r>
      <w:r>
        <w:rPr>
          <w:rFonts w:ascii="Times New Roman" w:hAnsi="Times New Roman"/>
          <w:szCs w:val="21"/>
        </w:rPr>
        <w:t>监理人</w:t>
      </w:r>
      <w:r>
        <w:rPr>
          <w:rFonts w:ascii="Times New Roman" w:hAnsi="Times New Roman"/>
        </w:rPr>
        <w:t>名称，以下</w:t>
      </w:r>
      <w:r>
        <w:rPr>
          <w:rFonts w:ascii="Times New Roman" w:hAnsi="Times New Roman"/>
          <w:szCs w:val="21"/>
        </w:rPr>
        <w:t>称“监理人”</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ascii="Times New Roman" w:hAnsi="Times New Roman"/>
          <w:color w:val="000000"/>
        </w:rPr>
        <w:t>（项目名称）监理招标项目</w:t>
      </w:r>
      <w:r>
        <w:rPr>
          <w:rFonts w:ascii="Times New Roman" w:hAnsi="Times New Roman"/>
        </w:rPr>
        <w:t>的投标。我方愿意无条件地、不可撤销地就</w:t>
      </w:r>
      <w:r>
        <w:rPr>
          <w:rFonts w:ascii="Times New Roman" w:hAnsi="Times New Roman"/>
          <w:szCs w:val="21"/>
        </w:rPr>
        <w:t>监理人</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担保有效期自委托人与监理人签订的合同生效之日起至委托人签发竣工验收证书之日起</w:t>
      </w:r>
      <w:r>
        <w:rPr>
          <w:rFonts w:ascii="Times New Roman" w:hAnsi="Times New Roman"/>
          <w:szCs w:val="21"/>
        </w:rPr>
        <w:t>28</w:t>
      </w:r>
      <w:r>
        <w:rPr>
          <w:rFonts w:hint="eastAsia" w:ascii="Times New Roman" w:hAnsi="Times New Roman"/>
          <w:szCs w:val="21"/>
        </w:rPr>
        <w:t>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如果监理人不履行合同约定的义务或其履行不符合合同的约定，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委托人和</w:t>
      </w:r>
      <w:r>
        <w:rPr>
          <w:rFonts w:ascii="Times New Roman" w:hAnsi="Times New Roman"/>
          <w:szCs w:val="21"/>
        </w:rPr>
        <w:t>监理人</w:t>
      </w:r>
      <w:r>
        <w:rPr>
          <w:rFonts w:ascii="Times New Roman" w:hAnsi="Times New Roman"/>
        </w:rPr>
        <w:t>变更合同时</w:t>
      </w:r>
      <w:bookmarkStart w:id="614" w:name="_Toc246996336"/>
      <w:bookmarkStart w:id="615" w:name="_Toc361508743"/>
      <w:bookmarkStart w:id="616" w:name="_Toc247527799"/>
      <w:bookmarkStart w:id="617" w:name="_Toc384308366"/>
      <w:bookmarkStart w:id="618" w:name="_Toc361231267"/>
      <w:bookmarkStart w:id="619" w:name="_Toc247514198"/>
      <w:bookmarkStart w:id="620" w:name="_Toc15620"/>
      <w:bookmarkStart w:id="621" w:name="_Toc184635123"/>
      <w:bookmarkStart w:id="622" w:name="_Toc296602586"/>
      <w:bookmarkStart w:id="623" w:name="_Toc246997079"/>
      <w:bookmarkStart w:id="624" w:name="_Toc247085851"/>
      <w:bookmarkStart w:id="625" w:name="_Toc300835200"/>
      <w:bookmarkStart w:id="626" w:name="_Toc369531685"/>
      <w:r>
        <w:rPr>
          <w:rFonts w:ascii="Times New Roman" w:hAnsi="Times New Roman"/>
        </w:rPr>
        <w:t>，无论我方是否收到该</w:t>
      </w:r>
      <w:bookmarkEnd w:id="587"/>
      <w:bookmarkEnd w:id="588"/>
      <w:bookmarkEnd w:id="589"/>
      <w:bookmarkEnd w:id="590"/>
      <w:bookmarkEnd w:id="614"/>
      <w:bookmarkEnd w:id="615"/>
      <w:bookmarkEnd w:id="616"/>
      <w:bookmarkEnd w:id="617"/>
      <w:bookmarkEnd w:id="618"/>
      <w:bookmarkEnd w:id="619"/>
      <w:bookmarkEnd w:id="620"/>
      <w:bookmarkEnd w:id="621"/>
      <w:bookmarkEnd w:id="622"/>
      <w:bookmarkEnd w:id="623"/>
      <w:bookmarkEnd w:id="624"/>
      <w:bookmarkEnd w:id="625"/>
      <w:bookmarkEnd w:id="626"/>
      <w:r>
        <w:rPr>
          <w:rFonts w:ascii="Times New Roman" w:hAnsi="Times New Roman"/>
        </w:rPr>
        <w:t>变</w:t>
      </w:r>
      <w:bookmarkStart w:id="627" w:name="_Toc384308367"/>
      <w:bookmarkStart w:id="628" w:name="_Toc247527800"/>
      <w:bookmarkStart w:id="629" w:name="_Toc361508744"/>
      <w:bookmarkStart w:id="630" w:name="_Toc5746"/>
      <w:bookmarkStart w:id="631" w:name="_Toc144974827"/>
      <w:bookmarkStart w:id="632" w:name="_Toc152042547"/>
      <w:bookmarkStart w:id="633" w:name="_Toc246997080"/>
      <w:bookmarkStart w:id="634" w:name="_Toc361231268"/>
      <w:bookmarkStart w:id="635" w:name="_Toc247514199"/>
      <w:bookmarkStart w:id="636" w:name="_Toc369531686"/>
      <w:bookmarkStart w:id="637" w:name="_Toc179632786"/>
      <w:bookmarkStart w:id="638" w:name="_Toc246996337"/>
      <w:bookmarkStart w:id="639" w:name="_Toc247085852"/>
      <w:bookmarkStart w:id="640" w:name="_Toc152045768"/>
      <w:bookmarkStart w:id="641" w:name="_Toc300835201"/>
      <w:r>
        <w:rPr>
          <w:rFonts w:ascii="Times New Roman" w:hAnsi="Times New Roman"/>
        </w:rPr>
        <w:t>更，我方承担本</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ascii="Times New Roman" w:hAnsi="Times New Roman"/>
        </w:rPr>
        <w:t>担保</w:t>
      </w:r>
      <w:bookmarkStart w:id="642" w:name="_Toc179632787"/>
      <w:bookmarkStart w:id="643" w:name="_Toc246996338"/>
      <w:bookmarkStart w:id="644" w:name="_Toc247085853"/>
      <w:bookmarkStart w:id="645" w:name="_Toc246997081"/>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646" w:name="_Toc152042549"/>
      <w:bookmarkStart w:id="647" w:name="_Toc14497482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bCs/>
          <w:sz w:val="2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spacing w:line="440" w:lineRule="exact"/>
        <w:jc w:val="center"/>
        <w:rPr>
          <w:rFonts w:ascii="Times New Roman" w:hAnsi="Times New Roman"/>
          <w:sz w:val="20"/>
        </w:rPr>
      </w:pPr>
    </w:p>
    <w:p>
      <w:pPr>
        <w:pStyle w:val="2"/>
        <w:jc w:val="center"/>
        <w:rPr>
          <w:color w:val="000000"/>
        </w:rPr>
      </w:pPr>
      <w:bookmarkStart w:id="648" w:name="_Toc31667"/>
      <w:r>
        <w:rPr>
          <w:color w:val="000000"/>
        </w:rPr>
        <w:t>第</w:t>
      </w:r>
      <w:r>
        <w:rPr>
          <w:rFonts w:hint="eastAsia"/>
          <w:color w:val="000000"/>
          <w:lang w:val="en-US" w:eastAsia="zh-CN"/>
        </w:rPr>
        <w:t>六</w:t>
      </w:r>
      <w:r>
        <w:rPr>
          <w:color w:val="000000"/>
        </w:rPr>
        <w:t>章委托人要求</w:t>
      </w:r>
      <w:bookmarkEnd w:id="648"/>
    </w:p>
    <w:p>
      <w:pPr>
        <w:topLinePunct/>
        <w:spacing w:line="440" w:lineRule="exact"/>
        <w:jc w:val="center"/>
        <w:rPr>
          <w:rFonts w:ascii="Times New Roman" w:hAnsi="Times New Roman"/>
        </w:rPr>
      </w:pPr>
    </w:p>
    <w:p>
      <w:pPr>
        <w:spacing w:line="400" w:lineRule="exact"/>
        <w:jc w:val="center"/>
        <w:rPr>
          <w:rFonts w:ascii="Times New Roman" w:hAnsi="Times New Roman"/>
        </w:rPr>
      </w:pPr>
      <w:r>
        <w:rPr>
          <w:rFonts w:ascii="Times New Roman" w:hAnsi="Times New Roman"/>
        </w:rPr>
        <w:br w:type="page"/>
      </w:r>
    </w:p>
    <w:p>
      <w:pPr>
        <w:spacing w:line="400" w:lineRule="exact"/>
        <w:jc w:val="center"/>
        <w:rPr>
          <w:rFonts w:ascii="Times New Roman" w:hAnsi="Times New Roman"/>
          <w:b/>
          <w:sz w:val="32"/>
          <w:szCs w:val="32"/>
        </w:rPr>
      </w:pPr>
      <w:r>
        <w:rPr>
          <w:rFonts w:ascii="Times New Roman" w:hAnsi="Times New Roman"/>
          <w:sz w:val="32"/>
          <w:szCs w:val="32"/>
        </w:rPr>
        <w:t>委托人要求</w:t>
      </w:r>
    </w:p>
    <w:bookmarkEnd w:id="642"/>
    <w:bookmarkEnd w:id="643"/>
    <w:bookmarkEnd w:id="644"/>
    <w:bookmarkEnd w:id="645"/>
    <w:p>
      <w:pPr>
        <w:spacing w:line="440" w:lineRule="exact"/>
        <w:ind w:firstLine="420" w:firstLineChars="200"/>
        <w:rPr>
          <w:rFonts w:ascii="Times New Roman" w:hAnsi="Times New Roman"/>
          <w:szCs w:val="21"/>
        </w:rPr>
      </w:pPr>
      <w:r>
        <w:rPr>
          <w:rFonts w:ascii="Times New Roman" w:hAnsi="Times New Roman"/>
          <w:szCs w:val="21"/>
        </w:rPr>
        <w:t>委托人要求应尽可能清晰准确，对于可以进行定量评估的工作，委托人要求不仅应明确规定其功能、用途、质量、环境、安全，并且要规定偏差的范围和计算方法，以及检验、试验、试运行的具体要求。对于监理人负责提供的有关服务，在委托人要求中应一并明确规定。</w:t>
      </w:r>
    </w:p>
    <w:p>
      <w:pPr>
        <w:spacing w:line="440" w:lineRule="exact"/>
        <w:ind w:firstLine="420" w:firstLineChars="200"/>
        <w:rPr>
          <w:rFonts w:ascii="Times New Roman" w:hAnsi="Times New Roman"/>
          <w:b/>
          <w:sz w:val="32"/>
        </w:rPr>
      </w:pPr>
      <w:r>
        <w:rPr>
          <w:rFonts w:ascii="Times New Roman" w:hAnsi="Times New Roman"/>
          <w:szCs w:val="21"/>
        </w:rPr>
        <w:t>委托人要求通常包括但不限于以下内容：</w:t>
      </w:r>
    </w:p>
    <w:p>
      <w:pPr>
        <w:pStyle w:val="3"/>
        <w:spacing w:line="240" w:lineRule="auto"/>
        <w:rPr>
          <w:rFonts w:ascii="Times New Roman" w:hAnsi="Times New Roman"/>
          <w:b w:val="0"/>
          <w:sz w:val="28"/>
          <w:szCs w:val="28"/>
        </w:rPr>
      </w:pPr>
      <w:bookmarkStart w:id="649" w:name="_Toc482188637"/>
      <w:bookmarkStart w:id="650" w:name="_Toc17653"/>
      <w:r>
        <w:rPr>
          <w:rFonts w:ascii="Times New Roman" w:hAnsi="Times New Roman"/>
          <w:b w:val="0"/>
          <w:sz w:val="28"/>
          <w:szCs w:val="28"/>
        </w:rPr>
        <w:t>一、监理要求</w:t>
      </w:r>
      <w:bookmarkEnd w:id="649"/>
      <w:bookmarkEnd w:id="650"/>
    </w:p>
    <w:p>
      <w:pPr>
        <w:spacing w:line="440" w:lineRule="exact"/>
        <w:ind w:firstLine="359" w:firstLineChars="171"/>
        <w:rPr>
          <w:rFonts w:ascii="Times New Roman" w:hAnsi="Times New Roman"/>
          <w:b/>
        </w:rPr>
      </w:pPr>
      <w:r>
        <w:rPr>
          <w:rFonts w:ascii="Times New Roman" w:hAnsi="Times New Roman"/>
        </w:rPr>
        <w:t>招标人应当根据项目情况在本章中明确相应的监理要求，一般应包括以下内容：</w:t>
      </w:r>
    </w:p>
    <w:p>
      <w:pPr>
        <w:spacing w:line="440" w:lineRule="exact"/>
        <w:ind w:firstLine="359" w:firstLineChars="171"/>
        <w:rPr>
          <w:rFonts w:ascii="Times New Roman" w:hAnsi="Times New Roman"/>
        </w:rPr>
      </w:pPr>
      <w:r>
        <w:rPr>
          <w:rFonts w:ascii="Times New Roman" w:hAnsi="Times New Roman"/>
        </w:rPr>
        <w:t>1. 项目概况</w:t>
      </w:r>
    </w:p>
    <w:p>
      <w:pPr>
        <w:spacing w:line="440" w:lineRule="exact"/>
        <w:ind w:firstLine="359" w:firstLineChars="171"/>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rPr>
      </w:pPr>
      <w:r>
        <w:rPr>
          <w:rFonts w:ascii="Times New Roman" w:hAnsi="Times New Roman"/>
        </w:rPr>
        <w:t>2. 监理范围及内容</w:t>
      </w:r>
    </w:p>
    <w:p>
      <w:pPr>
        <w:spacing w:line="440" w:lineRule="exact"/>
        <w:ind w:firstLine="359" w:firstLineChars="171"/>
        <w:rPr>
          <w:rFonts w:ascii="Times New Roman" w:hAnsi="Times New Roman"/>
        </w:rPr>
      </w:pPr>
      <w:r>
        <w:rPr>
          <w:rFonts w:ascii="Times New Roman" w:hAnsi="Times New Roman"/>
        </w:rPr>
        <w:t>3. 监理依据</w:t>
      </w:r>
    </w:p>
    <w:p>
      <w:pPr>
        <w:spacing w:line="440" w:lineRule="exact"/>
        <w:ind w:firstLine="359" w:firstLineChars="171"/>
        <w:rPr>
          <w:rFonts w:ascii="Times New Roman" w:hAnsi="Times New Roman"/>
        </w:rPr>
      </w:pPr>
      <w:r>
        <w:rPr>
          <w:rFonts w:ascii="Times New Roman" w:hAnsi="Times New Roman"/>
        </w:rPr>
        <w:t>4. 监理人员和试验检测仪器设备要求</w:t>
      </w:r>
    </w:p>
    <w:p>
      <w:pPr>
        <w:spacing w:line="440" w:lineRule="exact"/>
        <w:ind w:firstLine="359" w:firstLineChars="171"/>
        <w:rPr>
          <w:rFonts w:ascii="Times New Roman" w:hAnsi="Times New Roman"/>
        </w:rPr>
      </w:pPr>
      <w:r>
        <w:rPr>
          <w:rFonts w:ascii="Times New Roman" w:hAnsi="Times New Roman"/>
        </w:rPr>
        <w:t>5. 其他要求</w:t>
      </w:r>
    </w:p>
    <w:p>
      <w:pPr>
        <w:pStyle w:val="3"/>
        <w:spacing w:line="240" w:lineRule="auto"/>
        <w:rPr>
          <w:rFonts w:ascii="Times New Roman" w:hAnsi="Times New Roman"/>
          <w:b w:val="0"/>
          <w:sz w:val="28"/>
          <w:szCs w:val="28"/>
        </w:rPr>
      </w:pPr>
      <w:bookmarkStart w:id="651" w:name="_Toc13089"/>
      <w:bookmarkStart w:id="652" w:name="_Toc482188638"/>
      <w:r>
        <w:rPr>
          <w:rFonts w:ascii="Times New Roman" w:hAnsi="Times New Roman"/>
          <w:b w:val="0"/>
          <w:sz w:val="28"/>
          <w:szCs w:val="28"/>
        </w:rPr>
        <w:t>二、适用规范标准</w:t>
      </w:r>
      <w:bookmarkEnd w:id="651"/>
      <w:bookmarkEnd w:id="652"/>
    </w:p>
    <w:p>
      <w:pPr>
        <w:spacing w:line="360" w:lineRule="auto"/>
        <w:ind w:firstLine="420" w:firstLineChars="200"/>
        <w:rPr>
          <w:rFonts w:ascii="Times New Roman" w:hAnsi="Times New Roman"/>
        </w:rPr>
      </w:pPr>
      <w:r>
        <w:rPr>
          <w:rFonts w:ascii="Times New Roman" w:hAnsi="Times New Roman"/>
        </w:rPr>
        <w:t>1. 国家、行业、项目所在地规范名录</w:t>
      </w:r>
    </w:p>
    <w:p>
      <w:pPr>
        <w:spacing w:line="360" w:lineRule="auto"/>
        <w:ind w:firstLine="420" w:firstLineChars="200"/>
        <w:rPr>
          <w:rFonts w:ascii="Times New Roman" w:hAnsi="Times New Roman"/>
        </w:rPr>
      </w:pPr>
      <w:r>
        <w:rPr>
          <w:rFonts w:ascii="Times New Roman" w:hAnsi="Times New Roman"/>
        </w:rPr>
        <w:t>2. 国家、行业、项目所在地标准名录</w:t>
      </w:r>
    </w:p>
    <w:p>
      <w:pPr>
        <w:spacing w:line="360" w:lineRule="auto"/>
        <w:ind w:firstLine="420" w:firstLineChars="200"/>
        <w:rPr>
          <w:rFonts w:ascii="Times New Roman" w:hAnsi="Times New Roman"/>
        </w:rPr>
      </w:pPr>
      <w:r>
        <w:rPr>
          <w:rFonts w:ascii="Times New Roman" w:hAnsi="Times New Roman"/>
        </w:rPr>
        <w:t>3. 国家、行业、项目所在地规程名录</w:t>
      </w:r>
    </w:p>
    <w:p>
      <w:pPr>
        <w:pStyle w:val="3"/>
        <w:spacing w:line="240" w:lineRule="auto"/>
        <w:rPr>
          <w:rFonts w:ascii="Times New Roman" w:hAnsi="Times New Roman"/>
          <w:b w:val="0"/>
          <w:sz w:val="28"/>
          <w:szCs w:val="28"/>
        </w:rPr>
      </w:pPr>
      <w:bookmarkStart w:id="653" w:name="_Toc482188639"/>
      <w:bookmarkStart w:id="654" w:name="_Toc18547"/>
      <w:r>
        <w:rPr>
          <w:rFonts w:ascii="Times New Roman" w:hAnsi="Times New Roman"/>
          <w:b w:val="0"/>
          <w:sz w:val="28"/>
          <w:szCs w:val="28"/>
        </w:rPr>
        <w:t>三、成果文件要求</w:t>
      </w:r>
      <w:bookmarkEnd w:id="653"/>
      <w:bookmarkEnd w:id="654"/>
    </w:p>
    <w:p>
      <w:pPr>
        <w:spacing w:line="360" w:lineRule="auto"/>
        <w:ind w:firstLine="420" w:firstLineChars="200"/>
        <w:rPr>
          <w:rFonts w:ascii="Times New Roman" w:hAnsi="Times New Roman"/>
        </w:rPr>
      </w:pPr>
      <w:r>
        <w:rPr>
          <w:rFonts w:ascii="Times New Roman" w:hAnsi="Times New Roman"/>
        </w:rPr>
        <w:t>1. 成果文件的组成</w:t>
      </w:r>
    </w:p>
    <w:p>
      <w:pPr>
        <w:spacing w:line="360" w:lineRule="auto"/>
        <w:ind w:firstLine="420" w:firstLineChars="200"/>
        <w:rPr>
          <w:rFonts w:ascii="Times New Roman" w:hAnsi="Times New Roman"/>
        </w:rPr>
      </w:pPr>
      <w:r>
        <w:rPr>
          <w:rFonts w:ascii="Times New Roman" w:hAnsi="Times New Roman"/>
        </w:rPr>
        <w:t>2. 成果文件的深度</w:t>
      </w:r>
    </w:p>
    <w:p>
      <w:pPr>
        <w:spacing w:line="360" w:lineRule="auto"/>
        <w:ind w:firstLine="420" w:firstLineChars="200"/>
        <w:rPr>
          <w:rFonts w:ascii="Times New Roman" w:hAnsi="Times New Roman"/>
        </w:rPr>
      </w:pPr>
      <w:r>
        <w:rPr>
          <w:rFonts w:ascii="Times New Roman" w:hAnsi="Times New Roman"/>
        </w:rPr>
        <w:t>3. 成果文件的格式要求</w:t>
      </w:r>
    </w:p>
    <w:p>
      <w:pPr>
        <w:spacing w:line="360" w:lineRule="auto"/>
        <w:ind w:firstLine="420" w:firstLineChars="200"/>
        <w:rPr>
          <w:rFonts w:ascii="Times New Roman" w:hAnsi="Times New Roman"/>
        </w:rPr>
      </w:pPr>
      <w:r>
        <w:rPr>
          <w:rFonts w:ascii="Times New Roman" w:hAnsi="Times New Roman"/>
        </w:rPr>
        <w:t>4. 成果文件的份数要求</w:t>
      </w:r>
    </w:p>
    <w:p>
      <w:pPr>
        <w:spacing w:line="360" w:lineRule="auto"/>
        <w:ind w:firstLine="420" w:firstLineChars="200"/>
        <w:rPr>
          <w:rFonts w:ascii="Times New Roman" w:hAnsi="Times New Roman"/>
        </w:rPr>
      </w:pPr>
      <w:r>
        <w:rPr>
          <w:rFonts w:ascii="Times New Roman" w:hAnsi="Times New Roman"/>
        </w:rPr>
        <w:t>5. 成果文件的载体要求</w:t>
      </w:r>
    </w:p>
    <w:p>
      <w:pPr>
        <w:spacing w:line="360" w:lineRule="auto"/>
        <w:ind w:firstLine="420" w:firstLineChars="200"/>
        <w:rPr>
          <w:rFonts w:ascii="Times New Roman" w:hAnsi="Times New Roman"/>
        </w:rPr>
      </w:pPr>
      <w:r>
        <w:rPr>
          <w:rFonts w:ascii="Times New Roman" w:hAnsi="Times New Roman"/>
        </w:rPr>
        <w:t>（1）纸质版的要求；</w:t>
      </w:r>
    </w:p>
    <w:p>
      <w:pPr>
        <w:spacing w:line="360" w:lineRule="auto"/>
        <w:ind w:firstLine="420" w:firstLineChars="200"/>
        <w:rPr>
          <w:rFonts w:ascii="Times New Roman" w:hAnsi="Times New Roman"/>
        </w:rPr>
      </w:pPr>
      <w:r>
        <w:rPr>
          <w:rFonts w:ascii="Times New Roman" w:hAnsi="Times New Roman"/>
        </w:rPr>
        <w:t>（2）电子版的要求；</w:t>
      </w:r>
    </w:p>
    <w:p>
      <w:pPr>
        <w:spacing w:line="360" w:lineRule="auto"/>
        <w:ind w:firstLine="420" w:firstLineChars="200"/>
        <w:rPr>
          <w:rFonts w:ascii="Times New Roman" w:hAnsi="Times New Roman"/>
        </w:rPr>
      </w:pPr>
      <w:r>
        <w:rPr>
          <w:rFonts w:ascii="Times New Roman" w:hAnsi="Times New Roman"/>
        </w:rPr>
        <w:t>（3）其他要求。</w:t>
      </w:r>
    </w:p>
    <w:p>
      <w:pPr>
        <w:spacing w:line="360" w:lineRule="auto"/>
        <w:ind w:firstLine="420" w:firstLineChars="200"/>
        <w:rPr>
          <w:rFonts w:ascii="Times New Roman" w:hAnsi="Times New Roman"/>
        </w:rPr>
      </w:pPr>
      <w:r>
        <w:rPr>
          <w:rFonts w:ascii="Times New Roman" w:hAnsi="Times New Roman"/>
        </w:rPr>
        <w:t>6. 成果文件的其他要求</w:t>
      </w:r>
    </w:p>
    <w:p>
      <w:pPr>
        <w:pStyle w:val="3"/>
        <w:spacing w:line="240" w:lineRule="auto"/>
        <w:rPr>
          <w:rFonts w:ascii="Times New Roman" w:hAnsi="Times New Roman"/>
          <w:b w:val="0"/>
          <w:sz w:val="28"/>
          <w:szCs w:val="28"/>
        </w:rPr>
      </w:pPr>
      <w:bookmarkStart w:id="655" w:name="_Toc28654"/>
      <w:bookmarkStart w:id="656" w:name="_Toc482188640"/>
      <w:r>
        <w:rPr>
          <w:rFonts w:ascii="Times New Roman" w:hAnsi="Times New Roman"/>
          <w:b w:val="0"/>
          <w:sz w:val="28"/>
          <w:szCs w:val="28"/>
        </w:rPr>
        <w:t>四、委托人财产清单</w:t>
      </w:r>
      <w:bookmarkEnd w:id="655"/>
      <w:bookmarkEnd w:id="656"/>
    </w:p>
    <w:p>
      <w:pPr>
        <w:pStyle w:val="4"/>
        <w:ind w:firstLine="137"/>
        <w:rPr>
          <w:rFonts w:ascii="Times New Roman" w:hAnsi="Times New Roman"/>
        </w:rPr>
      </w:pPr>
      <w:bookmarkStart w:id="657" w:name="_Toc28251"/>
      <w:bookmarkStart w:id="658" w:name="_Toc482188641"/>
      <w:r>
        <w:rPr>
          <w:rFonts w:ascii="Times New Roman" w:hAnsi="Times New Roman"/>
        </w:rPr>
        <w:t>（一）委托人提供的设备、设施</w:t>
      </w:r>
      <w:bookmarkEnd w:id="657"/>
      <w:bookmarkEnd w:id="658"/>
    </w:p>
    <w:p>
      <w:pPr>
        <w:spacing w:line="360" w:lineRule="auto"/>
        <w:ind w:firstLine="420" w:firstLineChars="200"/>
        <w:rPr>
          <w:rFonts w:ascii="Times New Roman" w:hAnsi="Times New Roman"/>
        </w:rPr>
      </w:pPr>
      <w:r>
        <w:rPr>
          <w:rFonts w:ascii="Times New Roman" w:hAnsi="Times New Roman"/>
        </w:rPr>
        <w:t>1. 委托人提供的办公房屋及冷暖设施：如办公室数量及面积、空调等</w:t>
      </w:r>
    </w:p>
    <w:p>
      <w:pPr>
        <w:spacing w:line="360" w:lineRule="auto"/>
        <w:ind w:firstLine="420" w:firstLineChars="200"/>
        <w:rPr>
          <w:rFonts w:ascii="Times New Roman" w:hAnsi="Times New Roman"/>
        </w:rPr>
      </w:pPr>
      <w:r>
        <w:rPr>
          <w:rFonts w:ascii="Times New Roman" w:hAnsi="Times New Roman"/>
        </w:rPr>
        <w:t>2. 委托人提供的设备清单：如电脑、投影、打印机、复印机等</w:t>
      </w:r>
    </w:p>
    <w:p>
      <w:pPr>
        <w:spacing w:line="360" w:lineRule="auto"/>
        <w:ind w:firstLine="420" w:firstLineChars="200"/>
        <w:rPr>
          <w:rFonts w:ascii="Times New Roman" w:hAnsi="Times New Roman"/>
        </w:rPr>
      </w:pPr>
      <w:r>
        <w:rPr>
          <w:rFonts w:ascii="Times New Roman" w:hAnsi="Times New Roman"/>
        </w:rPr>
        <w:t>3. 委托人提供的设施清单：如办公桌椅、文件柜等</w:t>
      </w:r>
    </w:p>
    <w:p>
      <w:pPr>
        <w:spacing w:line="360" w:lineRule="auto"/>
        <w:ind w:firstLine="420" w:firstLineChars="200"/>
        <w:rPr>
          <w:rFonts w:ascii="Times New Roman" w:hAnsi="Times New Roman"/>
        </w:rPr>
      </w:pPr>
      <w:bookmarkStart w:id="659" w:name="_Toc482188642"/>
      <w:r>
        <w:rPr>
          <w:rFonts w:ascii="Times New Roman" w:hAnsi="Times New Roman"/>
        </w:rPr>
        <w:t>……</w:t>
      </w:r>
    </w:p>
    <w:p>
      <w:pPr>
        <w:pStyle w:val="4"/>
        <w:ind w:firstLine="137"/>
        <w:rPr>
          <w:rFonts w:ascii="Times New Roman" w:hAnsi="Times New Roman"/>
        </w:rPr>
      </w:pPr>
      <w:bookmarkStart w:id="660" w:name="_Toc21228"/>
      <w:r>
        <w:rPr>
          <w:rFonts w:ascii="Times New Roman" w:hAnsi="Times New Roman"/>
        </w:rPr>
        <w:t>（二）委托人提供的资料</w:t>
      </w:r>
      <w:bookmarkEnd w:id="659"/>
      <w:bookmarkEnd w:id="660"/>
    </w:p>
    <w:p>
      <w:pPr>
        <w:spacing w:line="360" w:lineRule="auto"/>
        <w:ind w:firstLine="420" w:firstLineChars="200"/>
        <w:rPr>
          <w:rFonts w:ascii="Times New Roman" w:hAnsi="Times New Roman"/>
        </w:rPr>
      </w:pPr>
      <w:r>
        <w:rPr>
          <w:rFonts w:ascii="Times New Roman" w:hAnsi="Times New Roman"/>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rPr>
      </w:pPr>
      <w:r>
        <w:rPr>
          <w:rFonts w:ascii="Times New Roman" w:hAnsi="Times New Roman"/>
        </w:rPr>
        <w:t>2. 定位放线的基准点、基准线和基准标高</w:t>
      </w:r>
    </w:p>
    <w:p>
      <w:pPr>
        <w:spacing w:line="360" w:lineRule="auto"/>
        <w:ind w:firstLine="420" w:firstLineChars="200"/>
        <w:rPr>
          <w:rFonts w:ascii="Times New Roman" w:hAnsi="Times New Roman"/>
        </w:rPr>
      </w:pPr>
      <w:r>
        <w:rPr>
          <w:rFonts w:ascii="Times New Roman" w:hAnsi="Times New Roman"/>
        </w:rPr>
        <w:t>3. 委托人取得的有关审批、核准和备案材料</w:t>
      </w:r>
    </w:p>
    <w:p>
      <w:pPr>
        <w:spacing w:line="360" w:lineRule="auto"/>
        <w:ind w:firstLine="420" w:firstLineChars="200"/>
        <w:rPr>
          <w:rFonts w:ascii="Times New Roman" w:hAnsi="Times New Roman"/>
        </w:rPr>
      </w:pPr>
      <w:r>
        <w:rPr>
          <w:rFonts w:ascii="Times New Roman" w:hAnsi="Times New Roman"/>
        </w:rPr>
        <w:t>4. 勘察文件、设计文件等资料</w:t>
      </w:r>
    </w:p>
    <w:p>
      <w:pPr>
        <w:spacing w:line="360" w:lineRule="auto"/>
        <w:ind w:firstLine="420" w:firstLineChars="200"/>
        <w:rPr>
          <w:rFonts w:ascii="Times New Roman" w:hAnsi="Times New Roman"/>
        </w:rPr>
      </w:pPr>
      <w:r>
        <w:rPr>
          <w:rFonts w:ascii="Times New Roman" w:hAnsi="Times New Roman"/>
        </w:rPr>
        <w:t>5. 技术标准、规范</w:t>
      </w:r>
    </w:p>
    <w:p>
      <w:pPr>
        <w:spacing w:line="360" w:lineRule="auto"/>
        <w:ind w:firstLine="420" w:firstLineChars="200"/>
        <w:rPr>
          <w:rFonts w:ascii="Times New Roman" w:hAnsi="Times New Roman"/>
        </w:rPr>
      </w:pPr>
      <w:r>
        <w:rPr>
          <w:rFonts w:ascii="Times New Roman" w:hAnsi="Times New Roman"/>
        </w:rPr>
        <w:t>6. 工程承包合同及其他相关合同</w:t>
      </w:r>
    </w:p>
    <w:p>
      <w:pPr>
        <w:spacing w:line="360" w:lineRule="auto"/>
        <w:ind w:firstLine="420" w:firstLineChars="200"/>
        <w:rPr>
          <w:rFonts w:ascii="Times New Roman" w:hAnsi="Times New Roman"/>
        </w:rPr>
      </w:pPr>
      <w:r>
        <w:rPr>
          <w:rFonts w:ascii="Times New Roman" w:hAnsi="Times New Roman"/>
        </w:rPr>
        <w:t>7. 其他资料</w:t>
      </w:r>
    </w:p>
    <w:p>
      <w:pPr>
        <w:spacing w:line="360" w:lineRule="auto"/>
        <w:ind w:firstLine="420" w:firstLineChars="200"/>
        <w:rPr>
          <w:rFonts w:ascii="Times New Roman" w:hAnsi="Times New Roman"/>
        </w:rPr>
      </w:pPr>
      <w:bookmarkStart w:id="661" w:name="_Toc482188643"/>
      <w:r>
        <w:rPr>
          <w:rFonts w:ascii="Times New Roman" w:hAnsi="Times New Roman"/>
        </w:rPr>
        <w:t>……</w:t>
      </w:r>
    </w:p>
    <w:p>
      <w:pPr>
        <w:pStyle w:val="4"/>
        <w:ind w:firstLine="137"/>
        <w:rPr>
          <w:rFonts w:ascii="Times New Roman" w:hAnsi="Times New Roman"/>
        </w:rPr>
      </w:pPr>
      <w:bookmarkStart w:id="662" w:name="_Toc2652"/>
      <w:r>
        <w:rPr>
          <w:rFonts w:ascii="Times New Roman" w:hAnsi="Times New Roman"/>
        </w:rPr>
        <w:t>（三）委托人财产使用要求及退还要求</w:t>
      </w:r>
      <w:bookmarkEnd w:id="661"/>
      <w:bookmarkEnd w:id="662"/>
    </w:p>
    <w:p>
      <w:pPr>
        <w:spacing w:line="360" w:lineRule="auto"/>
        <w:ind w:firstLine="420" w:firstLineChars="200"/>
        <w:rPr>
          <w:rFonts w:ascii="Times New Roman" w:hAnsi="Times New Roman"/>
        </w:rPr>
      </w:pPr>
      <w:r>
        <w:rPr>
          <w:rFonts w:ascii="Times New Roman" w:hAnsi="Times New Roman"/>
        </w:rPr>
        <w:t>1. 委托人财产使用要求</w:t>
      </w:r>
    </w:p>
    <w:p>
      <w:pPr>
        <w:spacing w:line="360" w:lineRule="auto"/>
        <w:ind w:firstLine="420" w:firstLineChars="200"/>
        <w:rPr>
          <w:rFonts w:ascii="Times New Roman" w:hAnsi="Times New Roman"/>
        </w:rPr>
      </w:pPr>
      <w:r>
        <w:rPr>
          <w:rFonts w:ascii="Times New Roman" w:hAnsi="Times New Roman"/>
        </w:rPr>
        <w:t>2. 委托人财产退还要求</w:t>
      </w:r>
    </w:p>
    <w:p>
      <w:pPr>
        <w:spacing w:line="360" w:lineRule="auto"/>
        <w:ind w:firstLine="420" w:firstLineChars="200"/>
        <w:rPr>
          <w:rFonts w:ascii="Times New Roman" w:hAnsi="Times New Roman"/>
        </w:rPr>
      </w:pPr>
      <w:bookmarkStart w:id="663" w:name="_Toc482188644"/>
      <w:r>
        <w:rPr>
          <w:rFonts w:ascii="Times New Roman" w:hAnsi="Times New Roman"/>
        </w:rPr>
        <w:t>……</w:t>
      </w:r>
    </w:p>
    <w:p>
      <w:pPr>
        <w:pStyle w:val="3"/>
        <w:spacing w:line="240" w:lineRule="auto"/>
        <w:rPr>
          <w:rFonts w:ascii="Times New Roman" w:hAnsi="Times New Roman"/>
          <w:b w:val="0"/>
          <w:sz w:val="28"/>
          <w:szCs w:val="28"/>
        </w:rPr>
      </w:pPr>
      <w:bookmarkStart w:id="664" w:name="_Toc26256"/>
      <w:r>
        <w:rPr>
          <w:rFonts w:ascii="Times New Roman" w:hAnsi="Times New Roman"/>
          <w:b w:val="0"/>
          <w:sz w:val="28"/>
          <w:szCs w:val="28"/>
        </w:rPr>
        <w:t>五、委托人提供的便利条件</w:t>
      </w:r>
      <w:bookmarkEnd w:id="663"/>
      <w:bookmarkEnd w:id="664"/>
    </w:p>
    <w:p>
      <w:pPr>
        <w:spacing w:line="360" w:lineRule="auto"/>
        <w:ind w:firstLine="420" w:firstLineChars="200"/>
        <w:rPr>
          <w:rFonts w:ascii="Times New Roman" w:hAnsi="Times New Roman"/>
        </w:rPr>
      </w:pPr>
      <w:r>
        <w:rPr>
          <w:rFonts w:ascii="Times New Roman" w:hAnsi="Times New Roman"/>
        </w:rPr>
        <w:t>1. 委托人提供的生活条件</w:t>
      </w:r>
    </w:p>
    <w:p>
      <w:pPr>
        <w:spacing w:line="360" w:lineRule="auto"/>
        <w:ind w:firstLine="420" w:firstLineChars="200"/>
        <w:rPr>
          <w:rFonts w:ascii="Times New Roman" w:hAnsi="Times New Roman"/>
        </w:rPr>
      </w:pPr>
      <w:r>
        <w:rPr>
          <w:rFonts w:ascii="Times New Roman" w:hAnsi="Times New Roman"/>
        </w:rPr>
        <w:t>2. 委托人提供的交通条件</w:t>
      </w:r>
    </w:p>
    <w:p>
      <w:pPr>
        <w:spacing w:line="360" w:lineRule="auto"/>
        <w:ind w:firstLine="420" w:firstLineChars="200"/>
        <w:rPr>
          <w:rFonts w:ascii="Times New Roman" w:hAnsi="Times New Roman"/>
        </w:rPr>
      </w:pPr>
      <w:r>
        <w:rPr>
          <w:rFonts w:ascii="Times New Roman" w:hAnsi="Times New Roman"/>
        </w:rPr>
        <w:t>3. 委托人提供的网络、通讯条件</w:t>
      </w:r>
    </w:p>
    <w:p>
      <w:pPr>
        <w:spacing w:line="360" w:lineRule="auto"/>
        <w:ind w:firstLine="420" w:firstLineChars="200"/>
        <w:rPr>
          <w:rFonts w:ascii="Times New Roman" w:hAnsi="Times New Roman"/>
        </w:rPr>
      </w:pPr>
      <w:r>
        <w:rPr>
          <w:rFonts w:ascii="Times New Roman" w:hAnsi="Times New Roman"/>
        </w:rPr>
        <w:t>4. 委托人提供的协助人员</w:t>
      </w:r>
    </w:p>
    <w:p>
      <w:pPr>
        <w:spacing w:line="360" w:lineRule="auto"/>
        <w:ind w:firstLine="420" w:firstLineChars="200"/>
        <w:rPr>
          <w:rFonts w:ascii="Times New Roman" w:hAnsi="Times New Roman"/>
        </w:rPr>
      </w:pPr>
      <w:bookmarkStart w:id="665" w:name="_Toc482188645"/>
      <w:r>
        <w:rPr>
          <w:rFonts w:ascii="Times New Roman" w:hAnsi="Times New Roman"/>
        </w:rPr>
        <w:t>……</w:t>
      </w:r>
    </w:p>
    <w:p>
      <w:pPr>
        <w:pStyle w:val="3"/>
        <w:spacing w:line="240" w:lineRule="auto"/>
        <w:rPr>
          <w:rFonts w:ascii="Times New Roman" w:hAnsi="Times New Roman"/>
          <w:b w:val="0"/>
          <w:sz w:val="28"/>
          <w:szCs w:val="28"/>
        </w:rPr>
      </w:pPr>
      <w:bookmarkStart w:id="666" w:name="_Toc29847"/>
      <w:r>
        <w:rPr>
          <w:rFonts w:ascii="Times New Roman" w:hAnsi="Times New Roman"/>
          <w:b w:val="0"/>
          <w:sz w:val="28"/>
          <w:szCs w:val="28"/>
        </w:rPr>
        <w:t>六、监理人需要自备的工作条件</w:t>
      </w:r>
      <w:bookmarkEnd w:id="665"/>
      <w:bookmarkEnd w:id="666"/>
    </w:p>
    <w:p>
      <w:pPr>
        <w:spacing w:line="360" w:lineRule="auto"/>
        <w:ind w:firstLine="420" w:firstLineChars="200"/>
        <w:rPr>
          <w:rFonts w:ascii="Times New Roman" w:hAnsi="Times New Roman"/>
        </w:rPr>
      </w:pPr>
      <w:r>
        <w:rPr>
          <w:rFonts w:ascii="Times New Roman" w:hAnsi="Times New Roman"/>
        </w:rPr>
        <w:t>1. 监理人自备的工作手册：如本项目必备的规范标准、图集等</w:t>
      </w:r>
    </w:p>
    <w:p>
      <w:pPr>
        <w:spacing w:line="360" w:lineRule="auto"/>
        <w:ind w:firstLine="420" w:firstLineChars="200"/>
        <w:rPr>
          <w:rFonts w:ascii="Times New Roman" w:hAnsi="Times New Roman"/>
        </w:rPr>
      </w:pPr>
      <w:r>
        <w:rPr>
          <w:rFonts w:ascii="Times New Roman" w:hAnsi="Times New Roman"/>
        </w:rPr>
        <w:t>2. 监理人自备的办公设备：如电脑、软件、投影、打印机、复印机、照相机等</w:t>
      </w:r>
    </w:p>
    <w:p>
      <w:pPr>
        <w:spacing w:line="360" w:lineRule="auto"/>
        <w:ind w:firstLine="420" w:firstLineChars="200"/>
        <w:rPr>
          <w:rFonts w:ascii="Times New Roman" w:hAnsi="Times New Roman"/>
        </w:rPr>
      </w:pPr>
      <w:r>
        <w:rPr>
          <w:rFonts w:ascii="Times New Roman" w:hAnsi="Times New Roman"/>
        </w:rPr>
        <w:t>3. 监理人自备的交通工具：如出行车辆等</w:t>
      </w:r>
    </w:p>
    <w:p>
      <w:pPr>
        <w:spacing w:line="360" w:lineRule="auto"/>
        <w:ind w:firstLine="420" w:firstLineChars="200"/>
        <w:rPr>
          <w:rFonts w:ascii="Times New Roman" w:hAnsi="Times New Roman"/>
        </w:rPr>
      </w:pPr>
      <w:r>
        <w:rPr>
          <w:rFonts w:ascii="Times New Roman" w:hAnsi="Times New Roman"/>
        </w:rPr>
        <w:t>4. 监理人自备的现场办公设施：如办公桌椅、文件柜等</w:t>
      </w:r>
    </w:p>
    <w:p>
      <w:pPr>
        <w:spacing w:line="360" w:lineRule="auto"/>
        <w:ind w:firstLine="420" w:firstLineChars="200"/>
        <w:rPr>
          <w:rFonts w:ascii="Times New Roman" w:hAnsi="Times New Roman"/>
        </w:rPr>
      </w:pPr>
      <w:r>
        <w:rPr>
          <w:rFonts w:ascii="Times New Roman" w:hAnsi="Times New Roman"/>
        </w:rPr>
        <w:t>5. 监理人自备的安全设施：如安全帽、安全鞋、手电筒等</w:t>
      </w:r>
    </w:p>
    <w:p>
      <w:pPr>
        <w:spacing w:line="360" w:lineRule="auto"/>
        <w:ind w:firstLine="420" w:firstLineChars="200"/>
        <w:rPr>
          <w:rFonts w:ascii="Times New Roman" w:hAnsi="Times New Roman"/>
        </w:rPr>
      </w:pPr>
      <w:r>
        <w:rPr>
          <w:rFonts w:ascii="Times New Roman" w:hAnsi="Times New Roman"/>
        </w:rPr>
        <w:t>6. 监理人自备的试验检测仪器、设备、工具</w:t>
      </w:r>
    </w:p>
    <w:p>
      <w:pPr>
        <w:spacing w:line="360" w:lineRule="auto"/>
        <w:ind w:firstLine="420" w:firstLineChars="200"/>
        <w:rPr>
          <w:rFonts w:ascii="Times New Roman" w:hAnsi="Times New Roman"/>
        </w:rPr>
      </w:pPr>
      <w:r>
        <w:rPr>
          <w:rFonts w:ascii="Times New Roman" w:hAnsi="Times New Roman"/>
        </w:rPr>
        <w:t>7. 监理人自备的试验用房、样品用房</w:t>
      </w:r>
    </w:p>
    <w:p>
      <w:pPr>
        <w:spacing w:line="360" w:lineRule="auto"/>
        <w:ind w:firstLine="420" w:firstLineChars="200"/>
        <w:rPr>
          <w:rFonts w:ascii="Times New Roman" w:hAnsi="Times New Roman"/>
        </w:rPr>
      </w:pPr>
      <w:bookmarkStart w:id="667" w:name="_Toc482188646"/>
      <w:r>
        <w:rPr>
          <w:rFonts w:ascii="Times New Roman" w:hAnsi="Times New Roman"/>
        </w:rPr>
        <w:t>……</w:t>
      </w:r>
    </w:p>
    <w:p>
      <w:pPr>
        <w:pStyle w:val="3"/>
        <w:spacing w:line="240" w:lineRule="auto"/>
        <w:rPr>
          <w:rFonts w:ascii="Times New Roman" w:hAnsi="Times New Roman"/>
          <w:b w:val="0"/>
          <w:sz w:val="28"/>
          <w:szCs w:val="28"/>
        </w:rPr>
      </w:pPr>
      <w:bookmarkStart w:id="668" w:name="_Toc9230"/>
      <w:r>
        <w:rPr>
          <w:rFonts w:ascii="Times New Roman" w:hAnsi="Times New Roman"/>
          <w:b w:val="0"/>
          <w:sz w:val="28"/>
          <w:szCs w:val="28"/>
        </w:rPr>
        <w:t>七、委托人的其他要求</w:t>
      </w:r>
      <w:bookmarkEnd w:id="667"/>
      <w:bookmarkEnd w:id="668"/>
    </w:p>
    <w:p>
      <w:pPr>
        <w:spacing w:line="360" w:lineRule="auto"/>
        <w:ind w:firstLine="420" w:firstLineChars="200"/>
        <w:rPr>
          <w:rFonts w:ascii="Times New Roman" w:hAnsi="Times New Roman"/>
        </w:rPr>
      </w:pPr>
      <w:r>
        <w:rPr>
          <w:rFonts w:ascii="Times New Roman" w:hAnsi="Times New Roman"/>
        </w:rPr>
        <w:t>委托人的其他要求</w:t>
      </w:r>
    </w:p>
    <w:p>
      <w:pPr>
        <w:spacing w:line="360" w:lineRule="auto"/>
        <w:ind w:firstLine="420" w:firstLineChars="200"/>
        <w:rPr>
          <w:rFonts w:ascii="Times New Roman" w:hAnsi="Times New Roman"/>
        </w:rPr>
      </w:pPr>
      <w:r>
        <w:rPr>
          <w:rFonts w:ascii="Times New Roman" w:hAnsi="Times New Roman"/>
        </w:rPr>
        <w:t>……</w:t>
      </w:r>
    </w:p>
    <w:p>
      <w:pPr>
        <w:spacing w:line="400" w:lineRule="exact"/>
        <w:jc w:val="center"/>
        <w:rPr>
          <w:rFonts w:ascii="Times New Roman" w:hAnsi="Times New Roman"/>
        </w:rPr>
      </w:pPr>
      <w:r>
        <w:rPr>
          <w:rFonts w:ascii="Times New Roman" w:hAnsi="Times New Roman"/>
        </w:rPr>
        <w:br w:type="page"/>
      </w:r>
    </w:p>
    <w:p>
      <w:pPr>
        <w:pStyle w:val="2"/>
        <w:jc w:val="center"/>
      </w:pPr>
      <w:bookmarkStart w:id="669" w:name="_Toc1207"/>
      <w:r>
        <w:t>第</w:t>
      </w:r>
      <w:r>
        <w:rPr>
          <w:rFonts w:hint="eastAsia"/>
          <w:lang w:val="en-US" w:eastAsia="zh-CN"/>
        </w:rPr>
        <w:t>七</w:t>
      </w:r>
      <w:r>
        <w:t>章投标文件格式</w:t>
      </w:r>
      <w:bookmarkEnd w:id="669"/>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540" w:lineRule="exact"/>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jc w:val="center"/>
        <w:rPr>
          <w:rFonts w:hint="eastAsia" w:ascii="黑体" w:eastAsia="黑体"/>
          <w:sz w:val="28"/>
          <w:szCs w:val="28"/>
        </w:rPr>
      </w:pPr>
    </w:p>
    <w:p>
      <w:pPr>
        <w:spacing w:before="240" w:beforeLines="100"/>
        <w:jc w:val="center"/>
        <w:rPr>
          <w:rFonts w:hint="eastAsia" w:ascii="黑体" w:eastAsia="黑体"/>
          <w:sz w:val="44"/>
          <w:szCs w:val="44"/>
        </w:rPr>
      </w:pPr>
      <w:r>
        <w:rPr>
          <w:rFonts w:hint="eastAsia" w:ascii="黑体" w:eastAsia="黑体"/>
          <w:sz w:val="44"/>
          <w:szCs w:val="44"/>
        </w:rPr>
        <w:t>投  标  文  件</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jc w:val="center"/>
        <w:rPr>
          <w:rFonts w:ascii="Times New Roman" w:hAnsi="Times New Roman"/>
          <w:color w:val="000000"/>
        </w:rPr>
      </w:pPr>
      <w:r>
        <w:rPr>
          <w:rFonts w:ascii="黑体" w:eastAsia="黑体"/>
          <w:sz w:val="28"/>
          <w:szCs w:val="28"/>
        </w:rPr>
        <w:br w:type="page"/>
      </w:r>
    </w:p>
    <w:p>
      <w:pPr>
        <w:pStyle w:val="3"/>
        <w:jc w:val="center"/>
        <w:rPr>
          <w:rFonts w:ascii="Times New Roman" w:hAnsi="Times New Roman"/>
          <w:color w:val="000000"/>
        </w:rPr>
      </w:pPr>
      <w:bookmarkStart w:id="670" w:name="_Toc25216"/>
      <w:r>
        <w:rPr>
          <w:rFonts w:ascii="Times New Roman" w:hAnsi="Times New Roman"/>
          <w:color w:val="000000"/>
        </w:rPr>
        <w:t>目录</w:t>
      </w:r>
      <w:bookmarkEnd w:id="670"/>
    </w:p>
    <w:p>
      <w:pPr>
        <w:spacing w:line="540" w:lineRule="exact"/>
        <w:rPr>
          <w:rFonts w:ascii="Times New Roman" w:hAnsi="Times New Roman"/>
        </w:rPr>
      </w:pPr>
      <w:r>
        <w:rPr>
          <w:rFonts w:ascii="Times New Roman" w:hAnsi="Times New Roman"/>
        </w:rPr>
        <w:t>一、投标函及投标函附录</w:t>
      </w:r>
    </w:p>
    <w:p>
      <w:pPr>
        <w:spacing w:line="540" w:lineRule="exact"/>
        <w:rPr>
          <w:rFonts w:ascii="Times New Roman" w:hAnsi="Times New Roman"/>
        </w:rPr>
      </w:pPr>
      <w:r>
        <w:rPr>
          <w:rFonts w:ascii="Times New Roman" w:hAnsi="Times New Roman"/>
        </w:rPr>
        <w:t>二、</w:t>
      </w:r>
      <w:r>
        <w:rPr>
          <w:rFonts w:hint="eastAsia" w:ascii="宋体" w:hAnsi="宋体"/>
          <w:szCs w:val="21"/>
        </w:rPr>
        <w:t>法定代表人身份证明</w:t>
      </w:r>
      <w:r>
        <w:rPr>
          <w:rFonts w:hint="eastAsia" w:ascii="宋体" w:hAnsi="宋体"/>
          <w:szCs w:val="21"/>
          <w:lang w:val="en-US" w:eastAsia="zh-CN"/>
        </w:rPr>
        <w:t>或授权委托书</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五、监理报酬清单</w:t>
      </w:r>
    </w:p>
    <w:p>
      <w:pPr>
        <w:spacing w:line="540" w:lineRule="exact"/>
        <w:rPr>
          <w:rFonts w:ascii="Times New Roman" w:hAnsi="Times New Roman"/>
        </w:rPr>
      </w:pPr>
      <w:r>
        <w:rPr>
          <w:rFonts w:ascii="Times New Roman" w:hAnsi="Times New Roman"/>
        </w:rPr>
        <w:t>六、资格审查资料</w:t>
      </w:r>
    </w:p>
    <w:p>
      <w:pPr>
        <w:spacing w:line="540" w:lineRule="exact"/>
        <w:rPr>
          <w:rFonts w:ascii="Times New Roman" w:hAnsi="Times New Roman"/>
        </w:rPr>
      </w:pPr>
      <w:r>
        <w:rPr>
          <w:rFonts w:ascii="Times New Roman" w:hAnsi="Times New Roman"/>
        </w:rPr>
        <w:t>七、监理大纲</w:t>
      </w:r>
    </w:p>
    <w:p>
      <w:pPr>
        <w:spacing w:line="540" w:lineRule="exact"/>
        <w:rPr>
          <w:rFonts w:ascii="Times New Roman" w:hAnsi="Times New Roman"/>
        </w:rPr>
      </w:pPr>
      <w:bookmarkStart w:id="671" w:name="_Toc369531691"/>
      <w:bookmarkStart w:id="672" w:name="_Toc7039"/>
      <w:bookmarkStart w:id="673" w:name="_Toc352691655"/>
      <w:r>
        <w:rPr>
          <w:rFonts w:ascii="Times New Roman" w:hAnsi="Times New Roman"/>
        </w:rPr>
        <w:t>八、</w:t>
      </w:r>
      <w:r>
        <w:rPr>
          <w:rFonts w:hint="eastAsia" w:ascii="宋体" w:hAnsi="宋体"/>
          <w:szCs w:val="21"/>
          <w:lang w:val="en-US" w:eastAsia="zh-CN"/>
        </w:rPr>
        <w:t>投标人须知前附表规定的</w:t>
      </w:r>
      <w:r>
        <w:rPr>
          <w:rFonts w:hint="eastAsia" w:ascii="宋体" w:hAnsi="宋体"/>
          <w:szCs w:val="21"/>
        </w:rPr>
        <w:t>其他材料</w:t>
      </w:r>
    </w:p>
    <w:p>
      <w:pPr>
        <w:spacing w:line="540" w:lineRule="exact"/>
        <w:rPr>
          <w:rFonts w:ascii="Times New Roman" w:hAnsi="Times New Roman" w:eastAsia="黑体"/>
          <w:sz w:val="20"/>
        </w:rPr>
      </w:pPr>
      <w:r>
        <w:rPr>
          <w:rFonts w:ascii="Times New Roman" w:hAnsi="Times New Roman"/>
        </w:rPr>
        <w:br w:type="page"/>
      </w:r>
    </w:p>
    <w:bookmarkEnd w:id="671"/>
    <w:bookmarkEnd w:id="672"/>
    <w:bookmarkEnd w:id="673"/>
    <w:p>
      <w:pPr>
        <w:pStyle w:val="3"/>
        <w:jc w:val="center"/>
        <w:rPr>
          <w:rFonts w:ascii="Times New Roman" w:hAnsi="Times New Roman"/>
        </w:rPr>
      </w:pPr>
      <w:bookmarkStart w:id="674" w:name="_Toc8967"/>
      <w:r>
        <w:rPr>
          <w:rFonts w:ascii="Times New Roman" w:hAnsi="Times New Roman"/>
        </w:rPr>
        <w:t>一、投标</w:t>
      </w:r>
      <w:bookmarkStart w:id="675" w:name="_Toc352691656"/>
      <w:bookmarkStart w:id="676" w:name="_Toc6931"/>
      <w:bookmarkStart w:id="677" w:name="_Toc369531692"/>
      <w:r>
        <w:rPr>
          <w:rFonts w:ascii="Times New Roman" w:hAnsi="Times New Roman"/>
        </w:rPr>
        <w:t>函及投标函附录</w:t>
      </w:r>
      <w:bookmarkEnd w:id="674"/>
    </w:p>
    <w:bookmarkEnd w:id="675"/>
    <w:bookmarkEnd w:id="676"/>
    <w:bookmarkEnd w:id="677"/>
    <w:p>
      <w:pPr>
        <w:pStyle w:val="4"/>
        <w:ind w:firstLine="137"/>
        <w:jc w:val="center"/>
        <w:rPr>
          <w:rFonts w:ascii="Times New Roman" w:hAnsi="Times New Roman"/>
        </w:rPr>
      </w:pPr>
      <w:bookmarkStart w:id="678" w:name="_Toc2106"/>
      <w:bookmarkStart w:id="679" w:name="_Toc482188651"/>
      <w:bookmarkStart w:id="680" w:name="_Toc370676426"/>
      <w:bookmarkStart w:id="681" w:name="_Toc359594235"/>
      <w:bookmarkStart w:id="682" w:name="_Toc385943065"/>
      <w:bookmarkStart w:id="683" w:name="_Toc391394111"/>
      <w:r>
        <w:rPr>
          <w:rFonts w:ascii="Times New Roman" w:hAnsi="Times New Roman"/>
        </w:rPr>
        <w:t>（一）投标函</w:t>
      </w:r>
      <w:bookmarkEnd w:id="678"/>
      <w:bookmarkEnd w:id="679"/>
      <w:bookmarkEnd w:id="680"/>
      <w:bookmarkEnd w:id="681"/>
      <w:bookmarkEnd w:id="682"/>
      <w:bookmarkEnd w:id="683"/>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color w:val="000000"/>
          <w:szCs w:val="21"/>
        </w:rPr>
        <w:t>（项目名称）监理招标项目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监理服务期限：</w:t>
      </w:r>
      <w:r>
        <w:rPr>
          <w:rFonts w:ascii="Times New Roman" w:hAnsi="Times New Roman"/>
          <w:szCs w:val="21"/>
          <w:u w:val="single"/>
        </w:rPr>
        <w:t xml:space="preserve">      </w:t>
      </w:r>
      <w:r>
        <w:rPr>
          <w:rFonts w:ascii="Times New Roman" w:hAnsi="Times New Roman"/>
          <w:szCs w:val="21"/>
        </w:rPr>
        <w:t>日历天，按合同约定完成监理工作。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r>
        <w:rPr>
          <w:rFonts w:ascii="Times New Roman" w:hAnsi="Times New Roman"/>
        </w:rPr>
        <w:t>及投标函附录</w:t>
      </w:r>
      <w:r>
        <w:rPr>
          <w:rFonts w:ascii="Times New Roman" w:hAnsi="Times New Roman"/>
          <w:color w:val="000000"/>
          <w:szCs w:val="21"/>
        </w:rPr>
        <w:t>；</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（4）投标保证金（如有）；</w:t>
      </w:r>
    </w:p>
    <w:p>
      <w:pPr>
        <w:spacing w:line="400" w:lineRule="exact"/>
        <w:ind w:firstLine="405"/>
        <w:rPr>
          <w:rFonts w:ascii="Times New Roman" w:hAnsi="Times New Roman"/>
          <w:color w:val="000000"/>
          <w:szCs w:val="21"/>
        </w:rPr>
      </w:pPr>
      <w:r>
        <w:rPr>
          <w:rFonts w:ascii="Times New Roman" w:hAnsi="Times New Roman"/>
          <w:color w:val="000000"/>
          <w:szCs w:val="21"/>
        </w:rPr>
        <w:t>（5）监理报酬清单；</w:t>
      </w:r>
    </w:p>
    <w:p>
      <w:pPr>
        <w:spacing w:line="400" w:lineRule="exact"/>
        <w:ind w:firstLine="405"/>
        <w:rPr>
          <w:rFonts w:ascii="Times New Roman" w:hAnsi="Times New Roman"/>
          <w:color w:val="000000"/>
          <w:szCs w:val="21"/>
        </w:rPr>
      </w:pPr>
      <w:r>
        <w:rPr>
          <w:rFonts w:ascii="Times New Roman" w:hAnsi="Times New Roman"/>
          <w:color w:val="000000"/>
          <w:szCs w:val="21"/>
        </w:rPr>
        <w:t>（6）资格审查资料；</w:t>
      </w:r>
    </w:p>
    <w:p>
      <w:pPr>
        <w:spacing w:line="400" w:lineRule="exact"/>
        <w:ind w:firstLine="405"/>
        <w:rPr>
          <w:rFonts w:ascii="Times New Roman" w:hAnsi="Times New Roman"/>
          <w:color w:val="000000"/>
          <w:szCs w:val="21"/>
        </w:rPr>
      </w:pPr>
      <w:r>
        <w:rPr>
          <w:rFonts w:ascii="Times New Roman" w:hAnsi="Times New Roman"/>
          <w:color w:val="000000"/>
          <w:szCs w:val="21"/>
        </w:rPr>
        <w:t>（7）监理大纲；</w:t>
      </w:r>
    </w:p>
    <w:p>
      <w:pPr>
        <w:spacing w:line="440" w:lineRule="exact"/>
        <w:ind w:firstLine="420" w:firstLineChars="200"/>
        <w:rPr>
          <w:rFonts w:hint="eastAsia" w:ascii="宋体" w:hAnsi="宋体" w:eastAsia="宋体"/>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8</w:t>
      </w:r>
      <w:r>
        <w:rPr>
          <w:rFonts w:hint="eastAsia" w:ascii="Times New Roman" w:hAnsi="Times New Roman"/>
          <w:color w:val="000000"/>
          <w:szCs w:val="21"/>
          <w:lang w:eastAsia="zh-CN"/>
        </w:rPr>
        <w:t>）</w:t>
      </w:r>
      <w:r>
        <w:rPr>
          <w:rFonts w:hint="eastAsia" w:ascii="宋体" w:hAnsi="宋体"/>
          <w:szCs w:val="21"/>
          <w:lang w:val="en-US" w:eastAsia="zh-CN"/>
        </w:rPr>
        <w:t>投标人须知前附表规定的</w:t>
      </w:r>
      <w:r>
        <w:rPr>
          <w:rFonts w:hint="eastAsia" w:ascii="宋体" w:hAnsi="宋体"/>
          <w:szCs w:val="21"/>
        </w:rPr>
        <w:t>其他材料</w:t>
      </w:r>
      <w:r>
        <w:rPr>
          <w:rFonts w:ascii="Times New Roman" w:hAnsi="Times New Roman"/>
          <w:color w:val="000000"/>
          <w:szCs w:val="21"/>
        </w:rPr>
        <w:t>（如有）</w:t>
      </w:r>
      <w:r>
        <w:rPr>
          <w:rFonts w:hint="eastAsia" w:ascii="Times New Roman" w:hAnsi="Times New Roman"/>
          <w:color w:val="000000"/>
          <w:szCs w:val="21"/>
          <w:lang w:eastAsia="zh-CN"/>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4．如我方中标，我方承诺：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684" w:name="_Toc369531694"/>
      <w:bookmarkStart w:id="685" w:name="_Toc352691658"/>
      <w:bookmarkStart w:id="686" w:name="_Toc1187"/>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684"/>
      <w:bookmarkEnd w:id="685"/>
      <w:bookmarkEnd w:id="686"/>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591"/>
    <w:bookmarkEnd w:id="592"/>
    <w:bookmarkEnd w:id="593"/>
    <w:bookmarkEnd w:id="594"/>
    <w:bookmarkEnd w:id="595"/>
    <w:bookmarkEnd w:id="596"/>
    <w:bookmarkEnd w:id="597"/>
    <w:bookmarkEnd w:id="646"/>
    <w:bookmarkEnd w:id="647"/>
    <w:p>
      <w:pPr>
        <w:spacing w:line="440" w:lineRule="exact"/>
        <w:ind w:firstLine="2520" w:firstLineChars="1200"/>
        <w:jc w:val="left"/>
        <w:rPr>
          <w:rFonts w:ascii="Times New Roman" w:hAnsi="Times New Roman"/>
          <w:szCs w:val="21"/>
        </w:rPr>
      </w:pPr>
      <w:bookmarkStart w:id="687" w:name="_Toc352691660"/>
      <w:bookmarkEnd w:id="687"/>
      <w:bookmarkStart w:id="688" w:name="_Toc16824"/>
      <w:bookmarkEnd w:id="688"/>
      <w:bookmarkStart w:id="689" w:name="_Toc16568"/>
      <w:bookmarkEnd w:id="689"/>
      <w:bookmarkStart w:id="690" w:name="_Toc369531695"/>
      <w:bookmarkEnd w:id="690"/>
      <w:bookmarkStart w:id="691" w:name="_Toc352691659"/>
      <w:bookmarkEnd w:id="691"/>
      <w:bookmarkStart w:id="692" w:name="_Toc369531696"/>
      <w:bookmarkEnd w:id="692"/>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693" w:name="_Toc17960"/>
      <w:bookmarkStart w:id="694" w:name="_Toc152042576"/>
      <w:bookmarkStart w:id="695" w:name="_Toc144974856"/>
      <w:bookmarkStart w:id="696" w:name="_Toc300835209"/>
      <w:bookmarkStart w:id="697" w:name="_Toc247514246"/>
      <w:bookmarkStart w:id="698" w:name="_Toc152045787"/>
      <w:bookmarkStart w:id="699" w:name="_Toc352691661"/>
      <w:bookmarkStart w:id="700" w:name="_Toc361508752"/>
      <w:bookmarkStart w:id="701" w:name="_Toc369531697"/>
      <w:bookmarkStart w:id="702" w:name="_Toc384308375"/>
      <w:bookmarkStart w:id="703" w:name="_Toc247527827"/>
    </w:p>
    <w:p>
      <w:pPr>
        <w:spacing w:line="440" w:lineRule="exact"/>
        <w:rPr>
          <w:rFonts w:ascii="Times New Roman" w:hAnsi="Times New Roman" w:eastAsia="黑体"/>
          <w:sz w:val="20"/>
        </w:rPr>
      </w:pPr>
      <w:r>
        <w:rPr>
          <w:rFonts w:ascii="Times New Roman" w:hAnsi="Times New Roman"/>
          <w:szCs w:val="21"/>
        </w:rPr>
        <w:br w:type="page"/>
      </w:r>
    </w:p>
    <w:p>
      <w:pPr>
        <w:pStyle w:val="4"/>
        <w:ind w:firstLine="137"/>
        <w:jc w:val="center"/>
        <w:rPr>
          <w:rFonts w:ascii="Times New Roman" w:hAnsi="Times New Roman"/>
        </w:rPr>
      </w:pPr>
      <w:bookmarkStart w:id="704" w:name="_Toc385943066"/>
      <w:bookmarkStart w:id="705" w:name="_Toc370676427"/>
      <w:bookmarkStart w:id="706" w:name="_Toc482188652"/>
      <w:bookmarkStart w:id="707" w:name="_Toc359594236"/>
      <w:bookmarkStart w:id="708" w:name="_Toc391394112"/>
      <w:bookmarkStart w:id="709" w:name="_Toc1783"/>
      <w:r>
        <w:rPr>
          <w:rFonts w:ascii="Times New Roman" w:hAnsi="Times New Roman"/>
        </w:rPr>
        <w:t>（二）投标函附录</w:t>
      </w:r>
      <w:bookmarkEnd w:id="704"/>
      <w:bookmarkEnd w:id="705"/>
      <w:bookmarkEnd w:id="706"/>
      <w:bookmarkEnd w:id="707"/>
      <w:bookmarkEnd w:id="708"/>
      <w:bookmarkEnd w:id="709"/>
    </w:p>
    <w:tbl>
      <w:tblPr>
        <w:tblStyle w:val="37"/>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jc w:val="center"/>
              <w:rPr>
                <w:rFonts w:ascii="Times New Roman" w:hAnsi="Times New Roman"/>
                <w:b/>
              </w:rPr>
            </w:pPr>
            <w:r>
              <w:rPr>
                <w:rFonts w:hint="eastAsia" w:ascii="Times New Roman" w:hAnsi="Times New Roman"/>
                <w:b/>
              </w:rPr>
              <w:t>序号</w:t>
            </w:r>
          </w:p>
        </w:tc>
        <w:tc>
          <w:tcPr>
            <w:tcW w:w="2161" w:type="dxa"/>
            <w:vAlign w:val="center"/>
          </w:tcPr>
          <w:p>
            <w:pPr>
              <w:jc w:val="center"/>
              <w:rPr>
                <w:rFonts w:ascii="Times New Roman" w:hAnsi="Times New Roman"/>
                <w:b/>
              </w:rPr>
            </w:pPr>
            <w:r>
              <w:rPr>
                <w:rFonts w:hint="eastAsia" w:ascii="Times New Roman" w:hAnsi="Times New Roman"/>
                <w:b/>
              </w:rPr>
              <w:t>条款名称</w:t>
            </w:r>
          </w:p>
        </w:tc>
        <w:tc>
          <w:tcPr>
            <w:tcW w:w="1513" w:type="dxa"/>
            <w:vAlign w:val="center"/>
          </w:tcPr>
          <w:p>
            <w:pPr>
              <w:jc w:val="center"/>
              <w:rPr>
                <w:rFonts w:ascii="Times New Roman" w:hAnsi="Times New Roman"/>
                <w:b/>
              </w:rPr>
            </w:pPr>
            <w:r>
              <w:rPr>
                <w:rFonts w:hint="eastAsia" w:ascii="Times New Roman" w:hAnsi="Times New Roman"/>
                <w:b/>
              </w:rPr>
              <w:t>合同条款号</w:t>
            </w:r>
          </w:p>
        </w:tc>
        <w:tc>
          <w:tcPr>
            <w:tcW w:w="2268" w:type="dxa"/>
            <w:vAlign w:val="center"/>
          </w:tcPr>
          <w:p>
            <w:pPr>
              <w:jc w:val="center"/>
              <w:rPr>
                <w:rFonts w:ascii="Times New Roman" w:hAnsi="Times New Roman"/>
                <w:b/>
              </w:rPr>
            </w:pPr>
            <w:r>
              <w:rPr>
                <w:rFonts w:hint="eastAsia" w:ascii="Times New Roman" w:hAnsi="Times New Roman"/>
                <w:b/>
              </w:rPr>
              <w:t>约定内容</w:t>
            </w:r>
          </w:p>
        </w:tc>
        <w:tc>
          <w:tcPr>
            <w:tcW w:w="1475" w:type="dxa"/>
            <w:vAlign w:val="center"/>
          </w:tcPr>
          <w:p>
            <w:pPr>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spacing w:before="100" w:beforeAutospacing="1" w:after="100" w:afterAutospacing="1"/>
              <w:jc w:val="center"/>
              <w:rPr>
                <w:rFonts w:ascii="Times New Roman" w:hAnsi="Times New Roman"/>
              </w:rPr>
            </w:pPr>
            <w:r>
              <w:rPr>
                <w:rFonts w:hint="eastAsia" w:ascii="Times New Roman" w:hAnsi="Times New Roman"/>
              </w:rPr>
              <w:t>1</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总监理工程师</w:t>
            </w:r>
          </w:p>
        </w:tc>
        <w:tc>
          <w:tcPr>
            <w:tcW w:w="1513" w:type="dxa"/>
            <w:vAlign w:val="center"/>
          </w:tcPr>
          <w:p>
            <w:pPr>
              <w:spacing w:line="440" w:lineRule="exact"/>
              <w:jc w:val="center"/>
              <w:rPr>
                <w:rFonts w:ascii="Times New Roman" w:hAnsi="Times New Roman"/>
              </w:rPr>
            </w:pPr>
            <w:r>
              <w:rPr>
                <w:rFonts w:ascii="Times New Roman" w:hAnsi="Times New Roman"/>
              </w:rPr>
              <w:t>1.1.2.5</w:t>
            </w:r>
          </w:p>
        </w:tc>
        <w:tc>
          <w:tcPr>
            <w:tcW w:w="2268" w:type="dxa"/>
            <w:vAlign w:val="center"/>
          </w:tcPr>
          <w:p>
            <w:pPr>
              <w:pStyle w:val="15"/>
              <w:topLinePunct/>
              <w:spacing w:line="400" w:lineRule="exact"/>
              <w:rPr>
                <w:rFonts w:ascii="Times New Roman" w:hAnsi="Times New Roman"/>
                <w:sz w:val="21"/>
                <w:szCs w:val="21"/>
              </w:rPr>
            </w:pPr>
            <w:r>
              <w:rPr>
                <w:rFonts w:hint="eastAsia" w:ascii="Times New Roman" w:hAnsi="Times New Roman"/>
                <w:sz w:val="21"/>
                <w:szCs w:val="21"/>
              </w:rPr>
              <w:t>姓名：</w:t>
            </w:r>
            <w:r>
              <w:rPr>
                <w:rFonts w:ascii="Times New Roman" w:hAnsi="Times New Roman"/>
                <w:sz w:val="21"/>
                <w:szCs w:val="21"/>
              </w:rPr>
              <w:t xml:space="preserve"> </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jc w:val="center"/>
              <w:rPr>
                <w:rFonts w:ascii="Times New Roman" w:hAnsi="Times New Roman"/>
              </w:rPr>
            </w:pPr>
            <w:r>
              <w:rPr>
                <w:rFonts w:hint="eastAsia" w:ascii="Times New Roman" w:hAnsi="Times New Roman"/>
              </w:rPr>
              <w:t>2</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监理服务期限</w:t>
            </w:r>
          </w:p>
        </w:tc>
        <w:tc>
          <w:tcPr>
            <w:tcW w:w="1513" w:type="dxa"/>
            <w:vAlign w:val="center"/>
          </w:tcPr>
          <w:p>
            <w:pPr>
              <w:spacing w:line="440" w:lineRule="exact"/>
              <w:jc w:val="center"/>
              <w:rPr>
                <w:rFonts w:ascii="Times New Roman" w:hAnsi="Times New Roman"/>
              </w:rPr>
            </w:pPr>
            <w:r>
              <w:rPr>
                <w:rFonts w:ascii="Times New Roman" w:hAnsi="Times New Roman"/>
              </w:rPr>
              <w:t>1.1.4.3</w:t>
            </w:r>
          </w:p>
        </w:tc>
        <w:tc>
          <w:tcPr>
            <w:tcW w:w="2268" w:type="dxa"/>
            <w:vAlign w:val="center"/>
          </w:tcPr>
          <w:p>
            <w:pPr>
              <w:pStyle w:val="15"/>
              <w:topLinePunct/>
              <w:spacing w:line="400" w:lineRule="exact"/>
              <w:rPr>
                <w:rFonts w:ascii="Times New Roman" w:hAnsi="Times New Roman"/>
                <w:sz w:val="21"/>
                <w:szCs w:val="21"/>
              </w:rPr>
            </w:pPr>
            <w:r>
              <w:rPr>
                <w:rFonts w:ascii="Times New Roman" w:hAnsi="Times New Roman"/>
                <w:sz w:val="21"/>
                <w:szCs w:val="21"/>
                <w:u w:val="single"/>
              </w:rPr>
              <w:t xml:space="preserve">      </w:t>
            </w:r>
            <w:r>
              <w:rPr>
                <w:rFonts w:hint="eastAsia" w:ascii="Times New Roman" w:hAnsi="Times New Roman"/>
                <w:sz w:val="21"/>
                <w:szCs w:val="21"/>
              </w:rPr>
              <w:t>日历天</w:t>
            </w:r>
          </w:p>
        </w:tc>
        <w:tc>
          <w:tcPr>
            <w:tcW w:w="1475" w:type="dxa"/>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tabs>
                <w:tab w:val="left" w:pos="360"/>
              </w:tabs>
              <w:jc w:val="center"/>
              <w:rPr>
                <w:rFonts w:ascii="Times New Roman" w:hAnsi="Times New Roman"/>
                <w:color w:val="000000"/>
              </w:rPr>
            </w:pPr>
            <w:r>
              <w:rPr>
                <w:rFonts w:ascii="Times New Roman" w:hAnsi="Times New Roman"/>
                <w:color w:val="000000"/>
              </w:rPr>
              <w:t>3</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合同价款确定方式</w:t>
            </w:r>
          </w:p>
        </w:tc>
        <w:tc>
          <w:tcPr>
            <w:tcW w:w="1513" w:type="dxa"/>
            <w:vAlign w:val="center"/>
          </w:tcPr>
          <w:p>
            <w:pPr>
              <w:spacing w:line="440" w:lineRule="exact"/>
              <w:jc w:val="center"/>
              <w:rPr>
                <w:rFonts w:ascii="Times New Roman" w:hAnsi="Times New Roman"/>
              </w:rPr>
            </w:pPr>
            <w:r>
              <w:rPr>
                <w:rFonts w:ascii="Times New Roman" w:hAnsi="Times New Roman"/>
              </w:rPr>
              <w:t>9.1.1</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tabs>
                <w:tab w:val="left" w:pos="360"/>
              </w:tabs>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jc w:val="center"/>
              <w:rPr>
                <w:rFonts w:ascii="Times New Roman" w:hAnsi="Times New Roman"/>
              </w:rPr>
            </w:pPr>
            <w:r>
              <w:rPr>
                <w:rFonts w:ascii="Times New Roman" w:hAnsi="Times New Roman"/>
              </w:rPr>
              <w:t>……</w:t>
            </w:r>
          </w:p>
        </w:tc>
        <w:tc>
          <w:tcPr>
            <w:tcW w:w="2161" w:type="dxa"/>
          </w:tcPr>
          <w:p>
            <w:pPr>
              <w:jc w:val="center"/>
              <w:rPr>
                <w:rFonts w:ascii="Times New Roman" w:hAnsi="Times New Roman"/>
              </w:rPr>
            </w:pPr>
            <w:r>
              <w:rPr>
                <w:rFonts w:ascii="Times New Roman" w:hAnsi="Times New Roman"/>
              </w:rPr>
              <w:t>……</w:t>
            </w:r>
          </w:p>
        </w:tc>
        <w:tc>
          <w:tcPr>
            <w:tcW w:w="1513"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spacing w:before="100" w:beforeAutospacing="1" w:after="100" w:afterAutospacing="1"/>
              <w:jc w:val="center"/>
              <w:rPr>
                <w:rFonts w:ascii="Times New Roman" w:hAnsi="Times New Roman"/>
              </w:rPr>
            </w:pPr>
            <w:r>
              <w:rPr>
                <w:rFonts w:ascii="Times New Roman" w:hAnsi="Times New Roman"/>
              </w:rPr>
              <w:t>……</w:t>
            </w:r>
          </w:p>
        </w:tc>
        <w:tc>
          <w:tcPr>
            <w:tcW w:w="2161" w:type="dxa"/>
          </w:tcPr>
          <w:p>
            <w:pPr>
              <w:spacing w:before="100" w:beforeAutospacing="1" w:after="100" w:afterAutospacing="1"/>
              <w:jc w:val="center"/>
              <w:rPr>
                <w:rFonts w:ascii="Times New Roman" w:hAnsi="Times New Roman"/>
              </w:rPr>
            </w:pPr>
            <w:r>
              <w:rPr>
                <w:rFonts w:ascii="Times New Roman" w:hAnsi="Times New Roman"/>
              </w:rPr>
              <w:t>……</w:t>
            </w:r>
          </w:p>
        </w:tc>
        <w:tc>
          <w:tcPr>
            <w:tcW w:w="1513" w:type="dxa"/>
          </w:tcPr>
          <w:p>
            <w:pPr>
              <w:spacing w:before="100" w:beforeAutospacing="1" w:after="100" w:afterAutospacing="1"/>
              <w:jc w:val="center"/>
              <w:rPr>
                <w:rFonts w:ascii="Times New Roman" w:hAnsi="Times New Roman"/>
              </w:rPr>
            </w:pPr>
            <w:r>
              <w:rPr>
                <w:rFonts w:ascii="Times New Roman" w:hAnsi="Times New Roman"/>
              </w:rPr>
              <w:t>……</w:t>
            </w:r>
          </w:p>
        </w:tc>
        <w:tc>
          <w:tcPr>
            <w:tcW w:w="2268" w:type="dxa"/>
          </w:tcPr>
          <w:p>
            <w:pPr>
              <w:spacing w:before="100" w:beforeAutospacing="1" w:after="100" w:afterAutospacing="1"/>
              <w:jc w:val="center"/>
              <w:rPr>
                <w:rFonts w:ascii="Times New Roman" w:hAnsi="Times New Roman"/>
              </w:rPr>
            </w:pPr>
            <w:r>
              <w:rPr>
                <w:rFonts w:ascii="Times New Roman" w:hAnsi="Times New Roman"/>
              </w:rPr>
              <w:t>……</w:t>
            </w:r>
          </w:p>
        </w:tc>
        <w:tc>
          <w:tcPr>
            <w:tcW w:w="1475" w:type="dxa"/>
            <w:vAlign w:val="center"/>
          </w:tcPr>
          <w:p>
            <w:pPr>
              <w:spacing w:line="440" w:lineRule="exact"/>
              <w:rPr>
                <w:rFonts w:ascii="Times New Roman" w:hAnsi="Times New Roman"/>
              </w:rPr>
            </w:pPr>
          </w:p>
        </w:tc>
      </w:tr>
    </w:tbl>
    <w:p>
      <w:pPr>
        <w:spacing w:line="440" w:lineRule="exact"/>
        <w:ind w:firstLine="2520" w:firstLineChars="1200"/>
        <w:jc w:val="left"/>
        <w:rPr>
          <w:rFonts w:ascii="Times New Roman" w:hAnsi="Times New Roman"/>
          <w:szCs w:val="21"/>
        </w:rPr>
      </w:pPr>
    </w:p>
    <w:p>
      <w:pPr>
        <w:spacing w:line="440" w:lineRule="exact"/>
        <w:ind w:firstLine="2520" w:firstLineChars="1200"/>
        <w:jc w:val="lef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 w:val="20"/>
        </w:rPr>
      </w:pPr>
    </w:p>
    <w:p>
      <w:pPr>
        <w:spacing w:line="440" w:lineRule="exact"/>
        <w:ind w:firstLine="420" w:firstLineChars="200"/>
        <w:rPr>
          <w:rFonts w:ascii="Times New Roman" w:hAnsi="Times New Roman"/>
          <w:szCs w:val="21"/>
        </w:rPr>
      </w:pPr>
      <w:r>
        <w:rPr>
          <w:rFonts w:ascii="Times New Roman" w:hAnsi="Times New Roman"/>
          <w:szCs w:val="21"/>
        </w:rPr>
        <w:br w:type="page"/>
      </w:r>
    </w:p>
    <w:p>
      <w:pPr>
        <w:pStyle w:val="3"/>
        <w:spacing w:line="240" w:lineRule="auto"/>
        <w:jc w:val="center"/>
        <w:rPr>
          <w:rFonts w:ascii="Times New Roman" w:hAnsi="Times New Roman"/>
          <w:color w:val="000000"/>
        </w:rPr>
      </w:pPr>
      <w:bookmarkStart w:id="710" w:name="_Toc22448"/>
      <w:r>
        <w:rPr>
          <w:rFonts w:ascii="Times New Roman" w:hAnsi="Times New Roman"/>
          <w:color w:val="000000"/>
        </w:rPr>
        <w:t>二</w:t>
      </w:r>
      <w:bookmarkEnd w:id="693"/>
      <w:bookmarkEnd w:id="694"/>
      <w:bookmarkEnd w:id="695"/>
      <w:bookmarkEnd w:id="696"/>
      <w:bookmarkEnd w:id="697"/>
      <w:bookmarkEnd w:id="698"/>
      <w:bookmarkEnd w:id="699"/>
      <w:bookmarkEnd w:id="700"/>
      <w:bookmarkEnd w:id="701"/>
      <w:bookmarkEnd w:id="702"/>
      <w:bookmarkEnd w:id="703"/>
      <w:r>
        <w:rPr>
          <w:rFonts w:ascii="Times New Roman" w:hAnsi="Times New Roman"/>
          <w:color w:val="000000"/>
        </w:rPr>
        <w:t>、</w:t>
      </w:r>
      <w:r>
        <w:rPr>
          <w:rFonts w:hint="eastAsia" w:ascii="黑体" w:hAnsi="宋体" w:eastAsia="黑体" w:cs="Times New Roman"/>
          <w:sz w:val="32"/>
          <w:szCs w:val="32"/>
        </w:rPr>
        <w:t>法定代表人身份证明</w:t>
      </w:r>
      <w:r>
        <w:rPr>
          <w:rFonts w:hint="eastAsia" w:ascii="黑体" w:hAnsi="宋体" w:eastAsia="黑体" w:cs="Times New Roman"/>
          <w:sz w:val="32"/>
          <w:szCs w:val="32"/>
          <w:lang w:val="en-US" w:eastAsia="zh-CN"/>
        </w:rPr>
        <w:t>及授权委托书</w:t>
      </w:r>
      <w:bookmarkEnd w:id="710"/>
    </w:p>
    <w:p>
      <w:pPr>
        <w:jc w:val="center"/>
        <w:outlineLvl w:val="9"/>
        <w:rPr>
          <w:rFonts w:ascii="Times New Roman" w:hAnsi="Times New Roman"/>
          <w:b w:val="0"/>
          <w:bCs w:val="0"/>
          <w:color w:val="000000"/>
          <w:sz w:val="28"/>
          <w:szCs w:val="28"/>
        </w:rPr>
      </w:pPr>
      <w:commentRangeStart w:id="10"/>
      <w:r>
        <w:rPr>
          <w:rFonts w:ascii="Times New Roman" w:hAnsi="Times New Roman"/>
          <w:b w:val="0"/>
          <w:bCs w:val="0"/>
          <w:color w:val="000000"/>
          <w:sz w:val="28"/>
          <w:szCs w:val="28"/>
        </w:rPr>
        <w:t>法定代表人身份证明</w:t>
      </w:r>
      <w:commentRangeEnd w:id="10"/>
      <w:r>
        <w:commentReference w:id="10"/>
      </w:r>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r>
        <w:rPr>
          <w:rFonts w:ascii="Times New Roman" w:hAnsi="Times New Roman"/>
          <w:u w:val="single"/>
        </w:rPr>
        <w:t xml:space="preserve">        </w:t>
      </w:r>
      <w:r>
        <w:rPr>
          <w:rFonts w:ascii="Times New Roman" w:hAnsi="Times New Roman"/>
          <w:color w:val="000000"/>
        </w:rPr>
        <w:t>年龄：</w:t>
      </w:r>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bl>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hint="eastAsia" w:ascii="Times New Roman" w:hAnsi="Times New Roman" w:eastAsia="宋体"/>
          <w:color w:val="000000"/>
          <w:sz w:val="28"/>
          <w:szCs w:val="28"/>
          <w:lang w:val="en-US" w:eastAsia="zh-CN"/>
        </w:rPr>
      </w:pPr>
      <w:commentRangeStart w:id="11"/>
      <w:r>
        <w:rPr>
          <w:rFonts w:ascii="Times New Roman" w:hAnsi="Times New Roman"/>
          <w:sz w:val="28"/>
          <w:szCs w:val="28"/>
        </w:rPr>
        <w:t>授权委托</w:t>
      </w:r>
      <w:r>
        <w:rPr>
          <w:rFonts w:ascii="Times New Roman" w:hAnsi="Times New Roman"/>
          <w:color w:val="000000"/>
          <w:sz w:val="28"/>
          <w:szCs w:val="28"/>
        </w:rPr>
        <w:t>书</w:t>
      </w:r>
      <w:commentRangeEnd w:id="11"/>
      <w:r>
        <w:commentReference w:id="11"/>
      </w:r>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w:t>
      </w:r>
      <w:r>
        <w:rPr>
          <w:rFonts w:hint="eastAsia" w:ascii="Times New Roman" w:hAnsi="Times New Roman"/>
          <w:color w:val="000000"/>
          <w:lang w:val="en-US" w:eastAsia="zh-CN"/>
        </w:rPr>
        <w:t>该</w:t>
      </w:r>
      <w:r>
        <w:rPr>
          <w:rFonts w:ascii="Times New Roman" w:hAnsi="Times New Roman"/>
          <w:color w:val="000000"/>
        </w:rPr>
        <w:t>招标项目投标文件、签订合同</w:t>
      </w:r>
      <w:r>
        <w:rPr>
          <w:rFonts w:hint="eastAsia" w:ascii="Times New Roman" w:hAnsi="Times New Roman"/>
          <w:color w:val="000000"/>
          <w:lang w:val="en-US" w:eastAsia="zh-CN"/>
        </w:rPr>
        <w:t>事</w:t>
      </w:r>
      <w:r>
        <w:rPr>
          <w:rFonts w:ascii="Times New Roman" w:hAnsi="Times New Roman"/>
          <w:color w:val="000000"/>
        </w:rPr>
        <w:t>宜，</w:t>
      </w:r>
      <w:r>
        <w:rPr>
          <w:rFonts w:hint="eastAsia" w:ascii="Times New Roman" w:hAnsi="Times New Roman"/>
          <w:color w:val="000000"/>
          <w:lang w:val="en-US" w:eastAsia="zh-CN"/>
        </w:rPr>
        <w:t>不包含质疑、投诉事宜，</w:t>
      </w:r>
      <w:r>
        <w:rPr>
          <w:rFonts w:ascii="Times New Roman" w:hAnsi="Times New Roman"/>
          <w:color w:val="000000"/>
        </w:rPr>
        <w:t>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31" w:type="dxa"/>
            <w:gridSpan w:val="2"/>
            <w:tcBorders>
              <w:top w:val="dashed" w:color="auto" w:sz="4" w:space="0"/>
              <w:left w:val="nil"/>
              <w:bottom w:val="nil"/>
              <w:right w:val="nil"/>
            </w:tcBorders>
          </w:tcPr>
          <w:p>
            <w:pPr>
              <w:spacing w:line="4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31" w:type="dxa"/>
            <w:gridSpan w:val="2"/>
            <w:tcBorders>
              <w:top w:val="nil"/>
              <w:left w:val="nil"/>
              <w:bottom w:val="nil"/>
              <w:right w:val="nil"/>
            </w:tcBorders>
            <w:vAlign w:val="center"/>
          </w:tcPr>
          <w:p>
            <w:pPr>
              <w:spacing w:line="240" w:lineRule="auto"/>
              <w:jc w:val="both"/>
              <w:rPr>
                <w:rFonts w:hint="eastAsia" w:ascii="Times New Roman" w:hAnsi="Times New Roman" w:eastAsia="宋体"/>
                <w:color w:val="000000"/>
                <w:vertAlign w:val="baseline"/>
                <w:lang w:eastAsia="zh-CN"/>
              </w:rPr>
            </w:pPr>
            <w:r>
              <w:rPr>
                <w:rFonts w:ascii="Times New Roman" w:hAnsi="Times New Roman"/>
                <w:color w:val="000000"/>
              </w:rPr>
              <w:t>投  标  人</w:t>
            </w:r>
            <w:r>
              <w:rPr>
                <w:rFonts w:hint="eastAsia" w:ascii="Times New Roman" w:hAnsi="Times New Roman"/>
                <w:color w:val="000000"/>
                <w:lang w:eastAsia="zh-CN"/>
              </w:rPr>
              <w:t>：</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法定代表人：</w:t>
            </w:r>
            <w:r>
              <w:rPr>
                <w:rFonts w:ascii="Times New Roman" w:hAnsi="Times New Roman"/>
                <w:szCs w:val="21"/>
                <w:u w:val="single"/>
              </w:rPr>
              <w:tab/>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tcPr>
          <w:p>
            <w:pPr>
              <w:spacing w:line="440" w:lineRule="exact"/>
              <w:rPr>
                <w:rFonts w:ascii="Times New Roman" w:hAnsi="Times New Roman"/>
                <w:color w:val="000000"/>
              </w:rPr>
            </w:pPr>
          </w:p>
        </w:tc>
        <w:tc>
          <w:tcPr>
            <w:tcW w:w="4766" w:type="dxa"/>
            <w:tcBorders>
              <w:top w:val="nil"/>
              <w:left w:val="nil"/>
              <w:bottom w:val="nil"/>
              <w:right w:val="nil"/>
            </w:tcBorders>
            <w:vAlign w:val="center"/>
          </w:tcPr>
          <w:p>
            <w:pPr>
              <w:spacing w:line="440" w:lineRule="exact"/>
              <w:jc w:val="right"/>
              <w:rPr>
                <w:rFonts w:ascii="Times New Roman" w:hAnsi="Times New Roman"/>
                <w:color w:val="000000"/>
              </w:rPr>
            </w:pP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tc>
      </w:tr>
    </w:tbl>
    <w:p>
      <w:pPr>
        <w:spacing w:line="440" w:lineRule="exact"/>
        <w:jc w:val="center"/>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r>
        <w:rPr>
          <w:rFonts w:ascii="宋体" w:hAnsi="宋体"/>
          <w:szCs w:val="21"/>
        </w:rPr>
        <w:br w:type="page"/>
      </w:r>
    </w:p>
    <w:p>
      <w:pPr>
        <w:pStyle w:val="3"/>
        <w:jc w:val="center"/>
        <w:rPr>
          <w:rFonts w:ascii="Times New Roman" w:hAnsi="Times New Roman"/>
          <w:color w:val="000000"/>
        </w:rPr>
      </w:pPr>
      <w:bookmarkStart w:id="711" w:name="_Toc14052"/>
      <w:r>
        <w:rPr>
          <w:rFonts w:ascii="Times New Roman" w:hAnsi="Times New Roman"/>
          <w:color w:val="000000"/>
        </w:rPr>
        <w:t>三、联合体协议书</w:t>
      </w:r>
      <w:bookmarkEnd w:id="711"/>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（项目名称）</w:t>
      </w:r>
      <w:r>
        <w:rPr>
          <w:rFonts w:ascii="Times New Roman" w:hAnsi="Times New Roman"/>
          <w:color w:val="000000"/>
        </w:rPr>
        <w:t>监理招标项目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712" w:name="_Toc144974859"/>
      <w:bookmarkStart w:id="713" w:name="_Toc247514249"/>
      <w:bookmarkStart w:id="714" w:name="_Toc152045790"/>
      <w:bookmarkStart w:id="715" w:name="_Toc361508755"/>
      <w:bookmarkStart w:id="716" w:name="_Toc384308378"/>
      <w:bookmarkStart w:id="717" w:name="_Toc300835212"/>
      <w:bookmarkStart w:id="718" w:name="_Toc152042579"/>
      <w:bookmarkStart w:id="719" w:name="_Toc247527830"/>
      <w:r>
        <w:rPr>
          <w:rFonts w:ascii="Times New Roman" w:hAnsi="Times New Roman"/>
          <w:color w:val="000000"/>
        </w:rPr>
        <w:t>关的</w:t>
      </w:r>
      <w:bookmarkStart w:id="720" w:name="_Toc352691664"/>
      <w:bookmarkStart w:id="721" w:name="_Toc369531700"/>
      <w:bookmarkStart w:id="722" w:name="_Toc7749"/>
      <w:r>
        <w:rPr>
          <w:rFonts w:ascii="Times New Roman" w:hAnsi="Times New Roman"/>
          <w:color w:val="000000"/>
        </w:rPr>
        <w:t>资料、信息及</w:t>
      </w:r>
      <w:bookmarkEnd w:id="720"/>
      <w:bookmarkEnd w:id="721"/>
      <w:bookmarkEnd w:id="722"/>
      <w:r>
        <w:rPr>
          <w:rFonts w:ascii="Times New Roman" w:hAnsi="Times New Roman"/>
          <w:color w:val="000000"/>
        </w:rPr>
        <w:t>指</w:t>
      </w:r>
      <w:bookmarkEnd w:id="712"/>
      <w:bookmarkEnd w:id="713"/>
      <w:bookmarkEnd w:id="714"/>
      <w:bookmarkEnd w:id="715"/>
      <w:bookmarkEnd w:id="716"/>
      <w:bookmarkEnd w:id="717"/>
      <w:bookmarkEnd w:id="718"/>
      <w:bookmarkEnd w:id="719"/>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723" w:name="_Toc247527831"/>
      <w:bookmarkStart w:id="724" w:name="_Toc369531701"/>
      <w:bookmarkStart w:id="725" w:name="_Toc384308380"/>
      <w:bookmarkStart w:id="726" w:name="_Toc152045791"/>
      <w:bookmarkStart w:id="727" w:name="_Toc27930"/>
      <w:bookmarkStart w:id="728" w:name="_Toc247514283"/>
      <w:bookmarkStart w:id="729" w:name="_Toc152042580"/>
      <w:bookmarkStart w:id="730" w:name="_Toc352691665"/>
      <w:bookmarkStart w:id="731" w:name="_Toc144974860"/>
      <w:bookmarkStart w:id="732" w:name="_Toc300835213"/>
      <w:bookmarkStart w:id="733" w:name="_Toc361508756"/>
      <w:r>
        <w:rPr>
          <w:rFonts w:ascii="Times New Roman" w:hAnsi="Times New Roman"/>
          <w:color w:val="000000"/>
        </w:rPr>
        <w:t>. 联合体牵头人在本项目中签署的一切文件和处理</w:t>
      </w:r>
      <w:bookmarkEnd w:id="723"/>
      <w:bookmarkEnd w:id="724"/>
      <w:bookmarkEnd w:id="725"/>
      <w:bookmarkEnd w:id="726"/>
      <w:bookmarkEnd w:id="727"/>
      <w:bookmarkEnd w:id="728"/>
      <w:bookmarkEnd w:id="729"/>
      <w:bookmarkEnd w:id="730"/>
      <w:bookmarkEnd w:id="731"/>
      <w:bookmarkEnd w:id="732"/>
      <w:bookmarkEnd w:id="733"/>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jc w:val="left"/>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注：本协议书由法定代表人签字的，应附法定代表人身份证明；由委托代理人签字的，应附授权委托书。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3700" w:firstLineChars="176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3"/>
        <w:jc w:val="center"/>
        <w:rPr>
          <w:rFonts w:ascii="Times New Roman" w:hAnsi="Times New Roman"/>
        </w:rPr>
      </w:pPr>
      <w:bookmarkStart w:id="734" w:name="_Toc15516"/>
      <w:r>
        <w:rPr>
          <w:rFonts w:ascii="Times New Roman" w:hAnsi="Times New Roman"/>
        </w:rPr>
        <w:t>四、</w:t>
      </w:r>
      <w:bookmarkStart w:id="735" w:name="_Toc361508757"/>
      <w:bookmarkStart w:id="736" w:name="_Toc352691666"/>
      <w:bookmarkStart w:id="737" w:name="_Toc384308381"/>
      <w:bookmarkStart w:id="738" w:name="_Toc152045792"/>
      <w:bookmarkStart w:id="739" w:name="_Toc247527832"/>
      <w:bookmarkStart w:id="740" w:name="_Toc300835214"/>
      <w:bookmarkStart w:id="741" w:name="_Toc369531702"/>
      <w:bookmarkStart w:id="742" w:name="_Toc247514284"/>
      <w:bookmarkStart w:id="743" w:name="_Toc152042581"/>
      <w:bookmarkStart w:id="744" w:name="_Toc144974861"/>
      <w:bookmarkStart w:id="745" w:name="_Toc13469"/>
      <w:r>
        <w:rPr>
          <w:rFonts w:ascii="Times New Roman" w:hAnsi="Times New Roman"/>
        </w:rPr>
        <w:t>投标保证金</w:t>
      </w:r>
      <w:bookmarkEnd w:id="734"/>
    </w:p>
    <w:bookmarkEnd w:id="735"/>
    <w:bookmarkEnd w:id="736"/>
    <w:bookmarkEnd w:id="737"/>
    <w:bookmarkEnd w:id="738"/>
    <w:bookmarkEnd w:id="739"/>
    <w:bookmarkEnd w:id="740"/>
    <w:bookmarkEnd w:id="741"/>
    <w:bookmarkEnd w:id="742"/>
    <w:bookmarkEnd w:id="743"/>
    <w:bookmarkEnd w:id="744"/>
    <w:bookmarkEnd w:id="745"/>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此处上传保证金缴纳回执单或电子保函电子件。</w:t>
      </w:r>
    </w:p>
    <w:p>
      <w:pPr>
        <w:rPr>
          <w:rFonts w:ascii="Times New Roman" w:hAnsi="Times New Roman"/>
          <w:color w:val="000000"/>
          <w:u w:val="single"/>
        </w:rPr>
      </w:pPr>
      <w:r>
        <w:rPr>
          <w:rFonts w:ascii="Times New Roman" w:hAnsi="Times New Roman"/>
          <w:color w:val="000000"/>
          <w:u w:val="single"/>
        </w:rPr>
        <w:br w:type="page"/>
      </w:r>
    </w:p>
    <w:p>
      <w:pPr>
        <w:pStyle w:val="3"/>
        <w:jc w:val="center"/>
        <w:rPr>
          <w:rFonts w:ascii="Times New Roman" w:hAnsi="Times New Roman"/>
        </w:rPr>
      </w:pPr>
      <w:bookmarkStart w:id="746" w:name="_Toc15147"/>
      <w:r>
        <w:rPr>
          <w:rFonts w:ascii="Times New Roman" w:hAnsi="Times New Roman"/>
        </w:rPr>
        <w:t>五、</w:t>
      </w:r>
      <w:r>
        <w:rPr>
          <w:rFonts w:ascii="Times New Roman" w:hAnsi="Times New Roman"/>
          <w:b w:val="0"/>
        </w:rPr>
        <w:t>监理报酬清单</w:t>
      </w:r>
      <w:bookmarkEnd w:id="746"/>
    </w:p>
    <w:p>
      <w:pPr>
        <w:spacing w:line="440" w:lineRule="exact"/>
        <w:ind w:firstLine="420" w:firstLineChars="200"/>
        <w:rPr>
          <w:rFonts w:ascii="Times New Roman" w:hAnsi="Times New Roman"/>
          <w:szCs w:val="21"/>
        </w:rPr>
      </w:pPr>
      <w:r>
        <w:rPr>
          <w:rFonts w:ascii="Times New Roman" w:hAnsi="Times New Roman"/>
          <w:szCs w:val="21"/>
        </w:rPr>
        <w:t>1. 监理报酬清单说明</w:t>
      </w:r>
    </w:p>
    <w:p>
      <w:pPr>
        <w:spacing w:line="440" w:lineRule="exact"/>
        <w:ind w:firstLine="420" w:firstLineChars="200"/>
        <w:rPr>
          <w:rFonts w:ascii="Times New Roman" w:hAnsi="Times New Roman"/>
          <w:szCs w:val="21"/>
        </w:rPr>
      </w:pPr>
      <w:r>
        <w:rPr>
          <w:rFonts w:ascii="Times New Roman" w:hAnsi="Times New Roman"/>
          <w:szCs w:val="21"/>
        </w:rPr>
        <w:t>2. 监理报酬清单</w:t>
      </w:r>
    </w:p>
    <w:p>
      <w:pPr>
        <w:spacing w:line="440" w:lineRule="exact"/>
        <w:ind w:firstLine="420" w:firstLineChars="200"/>
        <w:jc w:val="right"/>
        <w:rPr>
          <w:rFonts w:ascii="Times New Roman" w:hAnsi="Times New Roman"/>
          <w:szCs w:val="21"/>
        </w:rPr>
      </w:pPr>
      <w:r>
        <w:rPr>
          <w:rFonts w:ascii="Times New Roman" w:hAnsi="Times New Roman"/>
          <w:szCs w:val="21"/>
        </w:rPr>
        <w:t>单位：人民币元</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kern w:val="0"/>
                <w:szCs w:val="21"/>
              </w:rPr>
            </w:pPr>
            <w:bookmarkStart w:id="747" w:name="_Toc361508760"/>
            <w:r>
              <w:rPr>
                <w:rFonts w:ascii="Times New Roman" w:hAnsi="Times New Roman"/>
                <w:b/>
                <w:kern w:val="0"/>
                <w:szCs w:val="21"/>
              </w:rPr>
              <w:t>序号</w:t>
            </w:r>
          </w:p>
        </w:tc>
        <w:tc>
          <w:tcPr>
            <w:tcW w:w="2410" w:type="dxa"/>
            <w:vAlign w:val="center"/>
          </w:tcPr>
          <w:p>
            <w:pPr>
              <w:widowControl/>
              <w:jc w:val="center"/>
              <w:rPr>
                <w:rFonts w:ascii="Times New Roman" w:hAnsi="Times New Roman"/>
                <w:b/>
                <w:kern w:val="0"/>
                <w:szCs w:val="21"/>
              </w:rPr>
            </w:pPr>
            <w:r>
              <w:rPr>
                <w:rFonts w:ascii="Times New Roman" w:hAnsi="Times New Roman"/>
                <w:b/>
                <w:kern w:val="0"/>
                <w:szCs w:val="21"/>
              </w:rPr>
              <w:t>监理报酬分项名称</w:t>
            </w:r>
          </w:p>
        </w:tc>
        <w:tc>
          <w:tcPr>
            <w:tcW w:w="2268" w:type="dxa"/>
            <w:vAlign w:val="center"/>
          </w:tcPr>
          <w:p>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rPr>
            </w:pPr>
            <w:r>
              <w:rPr>
                <w:rFonts w:ascii="Times New Roman" w:hAnsi="Times New Roman"/>
              </w:rPr>
              <w:t>1</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b/>
                <w:kern w:val="0"/>
                <w:szCs w:val="21"/>
              </w:rPr>
            </w:pPr>
            <w:r>
              <w:rPr>
                <w:rFonts w:hint="eastAsia" w:ascii="Times New Roman" w:hAnsi="Times New Roman"/>
                <w:b/>
                <w:kern w:val="0"/>
                <w:szCs w:val="21"/>
              </w:rPr>
              <w:t>合计报价</w:t>
            </w: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bl>
    <w:p>
      <w:pPr>
        <w:widowControl/>
        <w:ind w:right="105"/>
        <w:jc w:val="right"/>
        <w:rPr>
          <w:rFonts w:ascii="Times New Roman" w:hAnsi="Times New Roman"/>
          <w:kern w:val="0"/>
        </w:rPr>
      </w:pPr>
    </w:p>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3"/>
        <w:spacing w:after="0"/>
        <w:jc w:val="center"/>
        <w:rPr>
          <w:rFonts w:ascii="Times New Roman" w:hAnsi="Times New Roman"/>
          <w:color w:val="000000"/>
        </w:rPr>
      </w:pPr>
      <w:r>
        <w:rPr>
          <w:rFonts w:ascii="Times New Roman" w:hAnsi="Times New Roman"/>
          <w:color w:val="000000"/>
        </w:rPr>
        <w:br w:type="page"/>
      </w:r>
      <w:bookmarkStart w:id="748" w:name="_Toc25413"/>
      <w:r>
        <w:rPr>
          <w:rFonts w:ascii="Times New Roman" w:hAnsi="Times New Roman"/>
          <w:color w:val="000000"/>
        </w:rPr>
        <w:t>六、资格审查资料</w:t>
      </w:r>
      <w:bookmarkEnd w:id="748"/>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749" w:name="_Toc29466"/>
      <w:r>
        <w:rPr>
          <w:rFonts w:hint="eastAsia" w:ascii="黑体" w:hAnsi="宋体" w:eastAsia="黑体"/>
          <w:sz w:val="24"/>
        </w:rPr>
        <w:t>（一）投标人基本情况表</w:t>
      </w:r>
      <w:bookmarkEnd w:id="749"/>
    </w:p>
    <w:tbl>
      <w:tblPr>
        <w:tblStyle w:val="38"/>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050"/>
        <w:gridCol w:w="1237"/>
        <w:gridCol w:w="1188"/>
        <w:gridCol w:w="1337"/>
        <w:gridCol w:w="122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单位名称</w:t>
            </w:r>
          </w:p>
        </w:tc>
        <w:tc>
          <w:tcPr>
            <w:tcW w:w="7650" w:type="dxa"/>
            <w:gridSpan w:val="6"/>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注册地址</w:t>
            </w:r>
          </w:p>
        </w:tc>
        <w:tc>
          <w:tcPr>
            <w:tcW w:w="3475" w:type="dxa"/>
            <w:gridSpan w:val="3"/>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联系方式</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  真</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    址</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技术负责人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成立时间</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员工人数</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企业资质等级</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其中</w:t>
            </w: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项目经理</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注册资金</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开户银行</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初级职称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账    号</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    工</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投标人关联</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企业情况</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    注</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本表后附企业基本信息相关电子件。</w:t>
      </w:r>
    </w:p>
    <w:p>
      <w:pPr>
        <w:rPr>
          <w:rFonts w:hint="default" w:ascii="宋体" w:hAnsi="宋体" w:eastAsia="宋体" w:cs="宋体"/>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附：</w:t>
      </w:r>
    </w:p>
    <w:tbl>
      <w:tblPr>
        <w:tblStyle w:val="3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64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42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42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jc w:val="left"/>
        <w:rPr>
          <w:rFonts w:hint="default"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r>
        <w:rPr>
          <w:rFonts w:ascii="宋体" w:hAnsi="宋体"/>
          <w:szCs w:val="21"/>
        </w:rPr>
        <w:br w:type="page"/>
      </w:r>
      <w:bookmarkStart w:id="750" w:name="_Toc27185"/>
      <w:r>
        <w:rPr>
          <w:rFonts w:hint="eastAsia" w:ascii="黑体" w:hAnsi="宋体" w:eastAsia="黑体"/>
          <w:sz w:val="24"/>
        </w:rPr>
        <w:t>（二）近年财务状况表</w:t>
      </w:r>
      <w:bookmarkEnd w:id="75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近年财务状况应附经会计师事务所或审计机构审计的财务会计报表，包括资产负债表、现金流量表、利润表和财务情况说明书的电子文件，具体要求见投标人须知</w:t>
      </w:r>
      <w:r>
        <w:rPr>
          <w:rFonts w:hint="eastAsia"/>
          <w:b w:val="0"/>
          <w:bCs w:val="0"/>
          <w:sz w:val="21"/>
          <w:szCs w:val="21"/>
          <w:lang w:val="en-US" w:eastAsia="zh-CN"/>
        </w:rPr>
        <w:t>。</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65"/>
        <w:gridCol w:w="468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年度</w:t>
            </w: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说明</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sz w:val="20"/>
        </w:rPr>
      </w:pPr>
      <w:r>
        <w:rPr>
          <w:rFonts w:ascii="Times New Roman" w:hAnsi="Times New Roman"/>
          <w:color w:val="000000"/>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firstLine="0" w:firstLineChars="0"/>
        <w:jc w:val="center"/>
        <w:textAlignment w:val="auto"/>
        <w:outlineLvl w:val="1"/>
        <w:rPr>
          <w:rFonts w:hint="eastAsia" w:ascii="黑体" w:hAnsi="宋体" w:eastAsia="黑体"/>
          <w:sz w:val="24"/>
        </w:rPr>
      </w:pPr>
      <w:bookmarkStart w:id="751" w:name="_Toc20217"/>
      <w:r>
        <w:rPr>
          <w:rFonts w:hint="eastAsia" w:ascii="黑体" w:hAnsi="宋体" w:eastAsia="黑体" w:cs="Times New Roman"/>
          <w:sz w:val="24"/>
        </w:rPr>
        <w:t>（三）近年完成的类似项目情况表</w:t>
      </w:r>
      <w:bookmarkEnd w:id="751"/>
    </w:p>
    <w:tbl>
      <w:tblPr>
        <w:tblStyle w:val="38"/>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6"/>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项目所在地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发包人地址</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发包人联系人及电话</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合同价格</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项目经理</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备注</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备注：本表应链接以下扫描件：业绩中标通知书,业绩合同协议书,工程竣工验收证书。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603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03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宋体" w:hAnsi="宋体"/>
          <w:szCs w:val="21"/>
        </w:rPr>
        <w:br w:type="page"/>
      </w:r>
    </w:p>
    <w:bookmarkEnd w:id="747"/>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eastAsia" w:ascii="黑体" w:hAnsi="宋体" w:eastAsia="黑体"/>
          <w:sz w:val="24"/>
        </w:rPr>
      </w:pPr>
      <w:bookmarkStart w:id="752" w:name="_Toc18605"/>
      <w:r>
        <w:rPr>
          <w:rFonts w:hint="eastAsia" w:ascii="黑体" w:hAnsi="宋体" w:eastAsia="黑体" w:cs="Times New Roman"/>
          <w:sz w:val="24"/>
        </w:rPr>
        <w:t>（四）正在</w:t>
      </w:r>
      <w:r>
        <w:rPr>
          <w:rFonts w:hint="eastAsia" w:ascii="黑体" w:hAnsi="宋体" w:eastAsia="黑体" w:cs="Times New Roman"/>
          <w:sz w:val="24"/>
          <w:lang w:val="en-US" w:eastAsia="zh-CN"/>
        </w:rPr>
        <w:t>监理</w:t>
      </w:r>
      <w:r>
        <w:rPr>
          <w:rFonts w:hint="eastAsia" w:ascii="黑体" w:hAnsi="宋体" w:eastAsia="黑体" w:cs="Times New Roman"/>
          <w:sz w:val="24"/>
        </w:rPr>
        <w:t>的和新承接的项目情况表</w:t>
      </w:r>
      <w:bookmarkEnd w:id="752"/>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项目所在地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发包人地址</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发包人联系人及电话</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合同价格</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项目经理</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备注</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w:t>
      </w:r>
    </w:p>
    <w:p>
      <w:pPr>
        <w:rPr>
          <w:rFonts w:hint="eastAsia" w:ascii="宋体" w:hAnsi="宋体" w:cs="宋体"/>
          <w:b/>
          <w:bCs/>
          <w:sz w:val="24"/>
          <w:szCs w:val="24"/>
          <w:vertAlign w:val="baseline"/>
          <w:lang w:val="en-US" w:eastAsia="zh-CN"/>
        </w:rPr>
      </w:pPr>
    </w:p>
    <w:p>
      <w:pPr>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jc w:val="center"/>
        <w:textAlignment w:val="auto"/>
        <w:outlineLvl w:val="1"/>
        <w:rPr>
          <w:rFonts w:hint="default" w:ascii="黑体" w:hAnsi="宋体" w:eastAsia="黑体"/>
          <w:sz w:val="24"/>
          <w:lang w:val="en-US" w:eastAsia="zh-CN"/>
        </w:rPr>
      </w:pPr>
      <w:r>
        <w:rPr>
          <w:rFonts w:ascii="宋体" w:hAnsi="宋体"/>
          <w:szCs w:val="21"/>
        </w:rPr>
        <w:br w:type="page"/>
      </w:r>
      <w:bookmarkStart w:id="753" w:name="_Toc4314"/>
      <w:bookmarkStart w:id="754" w:name="_Toc482188667"/>
      <w:r>
        <w:rPr>
          <w:rFonts w:hint="eastAsia" w:ascii="黑体" w:hAnsi="宋体" w:eastAsia="黑体"/>
          <w:sz w:val="24"/>
        </w:rPr>
        <w:t>（五）</w:t>
      </w:r>
      <w:r>
        <w:rPr>
          <w:rFonts w:hint="eastAsia" w:ascii="黑体" w:hAnsi="宋体" w:eastAsia="黑体"/>
          <w:sz w:val="24"/>
          <w:lang w:val="en-US" w:eastAsia="zh-CN"/>
        </w:rPr>
        <w:t>企业获奖</w:t>
      </w:r>
      <w:bookmarkEnd w:id="753"/>
    </w:p>
    <w:tbl>
      <w:tblPr>
        <w:tblStyle w:val="38"/>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426"/>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电子件名称</w:t>
            </w: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default" w:ascii="黑体" w:hAnsi="宋体" w:eastAsia="黑体"/>
          <w:sz w:val="24"/>
          <w:lang w:val="en-US" w:eastAsia="zh-CN"/>
        </w:rPr>
      </w:pPr>
      <w:r>
        <w:rPr>
          <w:rFonts w:ascii="宋体" w:hAnsi="宋体"/>
          <w:szCs w:val="21"/>
        </w:rPr>
        <w:br w:type="page"/>
      </w:r>
      <w:bookmarkStart w:id="755" w:name="_Toc20518"/>
      <w:r>
        <w:rPr>
          <w:rFonts w:hint="eastAsia" w:ascii="黑体" w:hAnsi="宋体" w:eastAsia="黑体"/>
          <w:sz w:val="24"/>
        </w:rPr>
        <w:t>（六）企业</w:t>
      </w:r>
      <w:r>
        <w:rPr>
          <w:rFonts w:hint="eastAsia" w:ascii="黑体" w:hAnsi="宋体" w:eastAsia="黑体"/>
          <w:sz w:val="24"/>
          <w:lang w:val="en-US" w:eastAsia="zh-CN"/>
        </w:rPr>
        <w:t>各类证书</w:t>
      </w:r>
      <w:bookmarkEnd w:id="755"/>
    </w:p>
    <w:tbl>
      <w:tblPr>
        <w:tblStyle w:val="38"/>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426"/>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证书名称</w:t>
            </w: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r>
    </w:tbl>
    <w:p>
      <w:pPr>
        <w:spacing w:line="440" w:lineRule="exact"/>
        <w:ind w:left="630" w:hanging="630" w:hangingChars="300"/>
        <w:rPr>
          <w:rFonts w:hint="eastAsia" w:ascii="黑体" w:hAnsi="宋体" w:eastAsia="黑体"/>
          <w:szCs w:val="21"/>
        </w:rPr>
      </w:pP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sz w:val="24"/>
        </w:rPr>
      </w:pPr>
      <w:bookmarkStart w:id="756" w:name="_Toc25533"/>
      <w:r>
        <w:rPr>
          <w:rFonts w:hint="eastAsia" w:ascii="黑体" w:hAnsi="宋体" w:eastAsia="黑体"/>
          <w:sz w:val="24"/>
        </w:rPr>
        <w:t>（</w:t>
      </w:r>
      <w:r>
        <w:rPr>
          <w:rFonts w:hint="eastAsia" w:ascii="黑体" w:hAnsi="宋体" w:eastAsia="黑体"/>
          <w:sz w:val="24"/>
          <w:lang w:val="en-US" w:eastAsia="zh-CN"/>
        </w:rPr>
        <w:t>七</w:t>
      </w:r>
      <w:r>
        <w:rPr>
          <w:rFonts w:hint="eastAsia" w:ascii="黑体" w:hAnsi="宋体" w:eastAsia="黑体"/>
          <w:sz w:val="24"/>
        </w:rPr>
        <w:t>）拟委任的主要人员汇总表</w:t>
      </w:r>
      <w:bookmarkEnd w:id="754"/>
      <w:bookmarkEnd w:id="756"/>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906"/>
        <w:gridCol w:w="1047"/>
        <w:gridCol w:w="1150"/>
        <w:gridCol w:w="979"/>
        <w:gridCol w:w="979"/>
        <w:gridCol w:w="979"/>
        <w:gridCol w:w="110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职务</w:t>
            </w:r>
          </w:p>
        </w:tc>
        <w:tc>
          <w:tcPr>
            <w:tcW w:w="101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姓名</w:t>
            </w:r>
          </w:p>
        </w:tc>
        <w:tc>
          <w:tcPr>
            <w:tcW w:w="1185"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职称</w:t>
            </w:r>
          </w:p>
        </w:tc>
        <w:tc>
          <w:tcPr>
            <w:tcW w:w="5865" w:type="dxa"/>
            <w:gridSpan w:val="5"/>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执业或职业资格证明</w:t>
            </w:r>
          </w:p>
        </w:tc>
        <w:tc>
          <w:tcPr>
            <w:tcW w:w="93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continue"/>
            <w:tcBorders>
              <w:tl2br w:val="nil"/>
              <w:tr2bl w:val="nil"/>
            </w:tcBorders>
            <w:noWrap w:val="0"/>
            <w:vAlign w:val="center"/>
          </w:tcPr>
          <w:p>
            <w:pPr>
              <w:jc w:val="center"/>
            </w:pPr>
          </w:p>
        </w:tc>
        <w:tc>
          <w:tcPr>
            <w:tcW w:w="1011" w:type="dxa"/>
            <w:vMerge w:val="continue"/>
            <w:tcBorders>
              <w:tl2br w:val="nil"/>
              <w:tr2bl w:val="nil"/>
            </w:tcBorders>
            <w:noWrap w:val="0"/>
            <w:vAlign w:val="center"/>
          </w:tcPr>
          <w:p>
            <w:pPr>
              <w:jc w:val="center"/>
            </w:pPr>
          </w:p>
        </w:tc>
        <w:tc>
          <w:tcPr>
            <w:tcW w:w="1185" w:type="dxa"/>
            <w:vMerge w:val="continue"/>
            <w:tcBorders>
              <w:tl2br w:val="nil"/>
              <w:tr2bl w:val="nil"/>
            </w:tcBorders>
            <w:noWrap w:val="0"/>
            <w:vAlign w:val="center"/>
          </w:tcPr>
          <w:p>
            <w:pPr>
              <w:jc w:val="center"/>
            </w:pPr>
          </w:p>
        </w:tc>
        <w:tc>
          <w:tcPr>
            <w:tcW w:w="131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证书名称</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级别</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证号</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专业</w:t>
            </w:r>
          </w:p>
        </w:tc>
        <w:tc>
          <w:tcPr>
            <w:tcW w:w="12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养老保险</w:t>
            </w:r>
          </w:p>
        </w:tc>
        <w:tc>
          <w:tcPr>
            <w:tcW w:w="931" w:type="dxa"/>
            <w:vMerge w:val="continue"/>
            <w:tcBorders>
              <w:tl2br w:val="nil"/>
              <w:tr2bl w:val="nil"/>
            </w:tcBorders>
            <w:noWrap w:val="0"/>
            <w:vAlign w:val="center"/>
          </w:tcPr>
          <w:p>
            <w:pPr>
              <w:jc w:val="center"/>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25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25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r>
        <w:br w:type="page"/>
      </w:r>
    </w:p>
    <w:p>
      <w:pPr>
        <w:jc w:val="left"/>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jc w:val="left"/>
        <w:rPr>
          <w:rFonts w:hint="default" w:ascii="宋体" w:hAnsi="宋体" w:cs="宋体"/>
          <w:b/>
          <w:bCs/>
          <w:sz w:val="24"/>
          <w:szCs w:val="24"/>
          <w:vertAlign w:val="baseline"/>
          <w:lang w:val="en-US" w:eastAsia="zh-CN"/>
        </w:rPr>
      </w:pPr>
      <w:r>
        <w:rPr>
          <w:rFonts w:hint="eastAsia" w:ascii="宋体" w:hAnsi="宋体" w:cs="宋体"/>
          <w:b w:val="0"/>
          <w:bCs w:val="0"/>
          <w:sz w:val="24"/>
          <w:szCs w:val="24"/>
          <w:vertAlign w:val="baseline"/>
          <w:lang w:val="en-US" w:eastAsia="zh-CN"/>
        </w:rPr>
        <w:t xml:space="preserve"> 扫描件：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Times New Roman" w:hAnsi="Times New Roman"/>
        </w:rPr>
        <w:br w:type="page"/>
      </w:r>
      <w:bookmarkStart w:id="757" w:name="_Toc152045805"/>
      <w:bookmarkStart w:id="758" w:name="_Toc179632825"/>
      <w:bookmarkStart w:id="759" w:name="_Toc152042594"/>
      <w:bookmarkStart w:id="760" w:name="_Toc144974873"/>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ascii="Times New Roman" w:hAnsi="Times New Roman"/>
          <w:sz w:val="23"/>
        </w:rPr>
      </w:pPr>
      <w:bookmarkStart w:id="761" w:name="_Toc359594249"/>
      <w:bookmarkStart w:id="762" w:name="_Toc482188668"/>
      <w:bookmarkStart w:id="763" w:name="_Toc10677"/>
      <w:bookmarkStart w:id="764" w:name="_Toc384308390"/>
      <w:bookmarkStart w:id="765" w:name="_Toc391394125"/>
      <w:bookmarkStart w:id="766" w:name="_Toc370676440"/>
      <w:bookmarkStart w:id="767" w:name="_Toc385943079"/>
      <w:bookmarkStart w:id="768" w:name="_Toc300835232"/>
      <w:r>
        <w:rPr>
          <w:rFonts w:hint="eastAsia" w:ascii="黑体" w:hAnsi="宋体" w:eastAsia="黑体"/>
          <w:sz w:val="24"/>
        </w:rPr>
        <w:t>（</w:t>
      </w:r>
      <w:r>
        <w:rPr>
          <w:rFonts w:hint="eastAsia" w:ascii="黑体" w:hAnsi="宋体" w:eastAsia="黑体"/>
          <w:sz w:val="24"/>
          <w:lang w:val="en-US" w:eastAsia="zh-CN"/>
        </w:rPr>
        <w:t>八</w:t>
      </w:r>
      <w:r>
        <w:rPr>
          <w:rFonts w:hint="eastAsia" w:ascii="黑体" w:hAnsi="宋体" w:eastAsia="黑体"/>
          <w:sz w:val="24"/>
        </w:rPr>
        <w:t>）主要人员简历表</w:t>
      </w:r>
      <w:bookmarkEnd w:id="757"/>
      <w:bookmarkEnd w:id="758"/>
      <w:bookmarkEnd w:id="759"/>
      <w:bookmarkEnd w:id="760"/>
      <w:bookmarkEnd w:id="761"/>
      <w:bookmarkEnd w:id="762"/>
      <w:bookmarkEnd w:id="763"/>
      <w:bookmarkEnd w:id="764"/>
      <w:bookmarkEnd w:id="765"/>
      <w:bookmarkEnd w:id="766"/>
      <w:bookmarkEnd w:id="767"/>
      <w:bookmarkEnd w:id="768"/>
    </w:p>
    <w:tbl>
      <w:tblPr>
        <w:tblStyle w:val="38"/>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96"/>
        <w:gridCol w:w="1080"/>
        <w:gridCol w:w="1485"/>
        <w:gridCol w:w="178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姓名</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年龄</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学历</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职称</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职务</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拟在本项目任职</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毕业学校</w:t>
            </w:r>
          </w:p>
        </w:tc>
        <w:tc>
          <w:tcPr>
            <w:tcW w:w="7045" w:type="dxa"/>
            <w:gridSpan w:val="5"/>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705" w:type="dxa"/>
            <w:gridSpan w:val="6"/>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时间</w:t>
            </w:r>
          </w:p>
        </w:tc>
        <w:tc>
          <w:tcPr>
            <w:tcW w:w="2276"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参加过得类似项目</w:t>
            </w:r>
          </w:p>
        </w:tc>
        <w:tc>
          <w:tcPr>
            <w:tcW w:w="3270"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工程概况说明</w:t>
            </w:r>
          </w:p>
        </w:tc>
        <w:tc>
          <w:tcPr>
            <w:tcW w:w="1499" w:type="dxa"/>
            <w:tcBorders>
              <w:tl2br w:val="nil"/>
              <w:tr2bl w:val="nil"/>
            </w:tcBorders>
            <w:noWrap w:val="0"/>
            <w:vAlign w:val="center"/>
          </w:tcPr>
          <w:p>
            <w:p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发包人及</w:t>
            </w:r>
          </w:p>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6"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3270"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扫描件：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614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jc w:val="left"/>
        <w:rPr>
          <w:rFonts w:hint="default" w:ascii="宋体" w:hAnsi="宋体" w:cs="宋体"/>
          <w:sz w:val="24"/>
          <w:szCs w:val="24"/>
          <w:vertAlign w:val="baseline"/>
          <w:lang w:val="en-US" w:eastAsia="zh-CN"/>
        </w:rPr>
      </w:pPr>
    </w:p>
    <w:p/>
    <w:p>
      <w:pPr>
        <w:spacing w:line="440" w:lineRule="exact"/>
        <w:rPr>
          <w:rFonts w:ascii="Times New Roman" w:hAnsi="Times New Roman"/>
        </w:rPr>
      </w:pPr>
      <w:r>
        <w:rPr>
          <w:rFonts w:ascii="Times New Roman" w:hAnsi="Times New Roman"/>
        </w:rPr>
        <w:br w:type="page"/>
      </w:r>
      <w:bookmarkStart w:id="769" w:name="_Toc352703741"/>
      <w:bookmarkEnd w:id="769"/>
      <w:bookmarkStart w:id="770" w:name="_Toc300835229"/>
      <w:bookmarkEnd w:id="770"/>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sz w:val="24"/>
        </w:rPr>
      </w:pPr>
      <w:bookmarkStart w:id="771" w:name="_Toc482188666"/>
      <w:bookmarkStart w:id="772" w:name="_Toc13828"/>
      <w:r>
        <w:rPr>
          <w:rFonts w:hint="eastAsia" w:ascii="黑体" w:hAnsi="宋体" w:eastAsia="黑体"/>
          <w:sz w:val="24"/>
        </w:rPr>
        <w:t>（</w:t>
      </w:r>
      <w:r>
        <w:rPr>
          <w:rFonts w:hint="eastAsia" w:ascii="黑体" w:hAnsi="宋体" w:eastAsia="黑体"/>
          <w:sz w:val="24"/>
          <w:lang w:val="en-US" w:eastAsia="zh-CN"/>
        </w:rPr>
        <w:t>九</w:t>
      </w:r>
      <w:r>
        <w:rPr>
          <w:rFonts w:hint="eastAsia" w:ascii="黑体" w:hAnsi="宋体" w:eastAsia="黑体"/>
          <w:sz w:val="24"/>
        </w:rPr>
        <w:t>）拟投入本项目的主要</w:t>
      </w:r>
      <w:bookmarkEnd w:id="771"/>
      <w:r>
        <w:rPr>
          <w:rFonts w:hint="eastAsia" w:ascii="黑体" w:hAnsi="宋体" w:eastAsia="黑体"/>
          <w:sz w:val="24"/>
        </w:rPr>
        <w:t>试验检测仪器设备表</w:t>
      </w:r>
      <w:bookmarkEnd w:id="772"/>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925"/>
        <w:gridCol w:w="805"/>
        <w:gridCol w:w="960"/>
        <w:gridCol w:w="870"/>
        <w:gridCol w:w="975"/>
        <w:gridCol w:w="1334"/>
        <w:gridCol w:w="1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30" w:type="dxa"/>
            <w:vAlign w:val="center"/>
          </w:tcPr>
          <w:p>
            <w:pPr>
              <w:spacing w:line="440" w:lineRule="exact"/>
              <w:jc w:val="center"/>
              <w:rPr>
                <w:rFonts w:ascii="Times New Roman" w:hAnsi="Times New Roman"/>
                <w:szCs w:val="21"/>
              </w:rPr>
            </w:pPr>
            <w:r>
              <w:rPr>
                <w:rFonts w:ascii="Times New Roman" w:hAnsi="Times New Roman"/>
                <w:szCs w:val="21"/>
              </w:rPr>
              <w:t>序号</w:t>
            </w:r>
          </w:p>
        </w:tc>
        <w:tc>
          <w:tcPr>
            <w:tcW w:w="1925" w:type="dxa"/>
            <w:vAlign w:val="center"/>
          </w:tcPr>
          <w:p>
            <w:pPr>
              <w:spacing w:line="440" w:lineRule="exact"/>
              <w:jc w:val="center"/>
              <w:rPr>
                <w:rFonts w:ascii="Times New Roman" w:hAnsi="Times New Roman"/>
                <w:szCs w:val="21"/>
              </w:rPr>
            </w:pPr>
            <w:r>
              <w:rPr>
                <w:rFonts w:ascii="Times New Roman" w:hAnsi="Times New Roman"/>
                <w:szCs w:val="21"/>
              </w:rPr>
              <w:t>仪器设备</w:t>
            </w:r>
          </w:p>
          <w:p>
            <w:pPr>
              <w:spacing w:line="440" w:lineRule="exact"/>
              <w:jc w:val="center"/>
              <w:rPr>
                <w:rFonts w:ascii="Times New Roman" w:hAnsi="Times New Roman"/>
                <w:szCs w:val="21"/>
              </w:rPr>
            </w:pPr>
            <w:r>
              <w:rPr>
                <w:rFonts w:ascii="Times New Roman" w:hAnsi="Times New Roman"/>
                <w:szCs w:val="21"/>
              </w:rPr>
              <w:t>名称</w:t>
            </w:r>
          </w:p>
        </w:tc>
        <w:tc>
          <w:tcPr>
            <w:tcW w:w="805" w:type="dxa"/>
            <w:vAlign w:val="center"/>
          </w:tcPr>
          <w:p>
            <w:pPr>
              <w:spacing w:line="440" w:lineRule="exact"/>
              <w:jc w:val="center"/>
              <w:rPr>
                <w:rFonts w:ascii="Times New Roman" w:hAnsi="Times New Roman"/>
                <w:szCs w:val="21"/>
              </w:rPr>
            </w:pPr>
            <w:r>
              <w:rPr>
                <w:rFonts w:ascii="Times New Roman" w:hAnsi="Times New Roman"/>
                <w:szCs w:val="21"/>
              </w:rPr>
              <w:t>型号</w:t>
            </w:r>
          </w:p>
          <w:p>
            <w:pPr>
              <w:spacing w:line="440" w:lineRule="exact"/>
              <w:jc w:val="center"/>
              <w:rPr>
                <w:rFonts w:ascii="Times New Roman" w:hAnsi="Times New Roman"/>
                <w:szCs w:val="21"/>
              </w:rPr>
            </w:pPr>
            <w:r>
              <w:rPr>
                <w:rFonts w:ascii="Times New Roman" w:hAnsi="Times New Roman"/>
                <w:szCs w:val="21"/>
              </w:rPr>
              <w:t>规格</w:t>
            </w:r>
          </w:p>
        </w:tc>
        <w:tc>
          <w:tcPr>
            <w:tcW w:w="960" w:type="dxa"/>
            <w:vAlign w:val="center"/>
          </w:tcPr>
          <w:p>
            <w:pPr>
              <w:spacing w:line="440" w:lineRule="exact"/>
              <w:jc w:val="center"/>
              <w:rPr>
                <w:rFonts w:ascii="Times New Roman" w:hAnsi="Times New Roman"/>
                <w:szCs w:val="21"/>
              </w:rPr>
            </w:pPr>
            <w:r>
              <w:rPr>
                <w:rFonts w:ascii="Times New Roman" w:hAnsi="Times New Roman"/>
                <w:szCs w:val="21"/>
              </w:rPr>
              <w:t>数量</w:t>
            </w:r>
          </w:p>
        </w:tc>
        <w:tc>
          <w:tcPr>
            <w:tcW w:w="870" w:type="dxa"/>
            <w:vAlign w:val="center"/>
          </w:tcPr>
          <w:p>
            <w:pPr>
              <w:spacing w:line="440" w:lineRule="exact"/>
              <w:jc w:val="center"/>
              <w:rPr>
                <w:rFonts w:ascii="Times New Roman" w:hAnsi="Times New Roman"/>
                <w:szCs w:val="21"/>
              </w:rPr>
            </w:pPr>
            <w:r>
              <w:rPr>
                <w:rFonts w:ascii="Times New Roman" w:hAnsi="Times New Roman"/>
                <w:szCs w:val="21"/>
              </w:rPr>
              <w:t>国别</w:t>
            </w:r>
          </w:p>
          <w:p>
            <w:pPr>
              <w:spacing w:line="440" w:lineRule="exact"/>
              <w:jc w:val="center"/>
              <w:rPr>
                <w:rFonts w:ascii="Times New Roman" w:hAnsi="Times New Roman"/>
                <w:szCs w:val="21"/>
              </w:rPr>
            </w:pPr>
            <w:r>
              <w:rPr>
                <w:rFonts w:ascii="Times New Roman" w:hAnsi="Times New Roman"/>
                <w:szCs w:val="21"/>
              </w:rPr>
              <w:t>产地</w:t>
            </w:r>
          </w:p>
        </w:tc>
        <w:tc>
          <w:tcPr>
            <w:tcW w:w="975" w:type="dxa"/>
            <w:vAlign w:val="center"/>
          </w:tcPr>
          <w:p>
            <w:pPr>
              <w:spacing w:line="440" w:lineRule="exact"/>
              <w:jc w:val="center"/>
              <w:rPr>
                <w:rFonts w:ascii="Times New Roman" w:hAnsi="Times New Roman"/>
                <w:szCs w:val="21"/>
              </w:rPr>
            </w:pPr>
            <w:r>
              <w:rPr>
                <w:rFonts w:ascii="Times New Roman" w:hAnsi="Times New Roman"/>
                <w:szCs w:val="21"/>
              </w:rPr>
              <w:t>制造</w:t>
            </w:r>
          </w:p>
          <w:p>
            <w:pPr>
              <w:spacing w:line="440" w:lineRule="exact"/>
              <w:jc w:val="center"/>
              <w:rPr>
                <w:rFonts w:ascii="Times New Roman" w:hAnsi="Times New Roman"/>
                <w:szCs w:val="21"/>
              </w:rPr>
            </w:pPr>
            <w:r>
              <w:rPr>
                <w:rFonts w:ascii="Times New Roman" w:hAnsi="Times New Roman"/>
                <w:szCs w:val="21"/>
              </w:rPr>
              <w:t>年份</w:t>
            </w:r>
          </w:p>
        </w:tc>
        <w:tc>
          <w:tcPr>
            <w:tcW w:w="1334" w:type="dxa"/>
            <w:vAlign w:val="center"/>
          </w:tcPr>
          <w:p>
            <w:pPr>
              <w:spacing w:line="440" w:lineRule="exact"/>
              <w:jc w:val="center"/>
              <w:rPr>
                <w:rFonts w:ascii="Times New Roman" w:hAnsi="Times New Roman"/>
                <w:szCs w:val="21"/>
              </w:rPr>
            </w:pPr>
            <w:r>
              <w:rPr>
                <w:rFonts w:ascii="Times New Roman" w:hAnsi="Times New Roman"/>
                <w:szCs w:val="21"/>
              </w:rPr>
              <w:t>用途</w:t>
            </w:r>
          </w:p>
        </w:tc>
        <w:tc>
          <w:tcPr>
            <w:tcW w:w="1162" w:type="dxa"/>
            <w:vAlign w:val="center"/>
          </w:tcPr>
          <w:p>
            <w:pPr>
              <w:spacing w:line="440" w:lineRule="exact"/>
              <w:jc w:val="center"/>
              <w:rPr>
                <w:rFonts w:ascii="Times New Roman" w:hAnsi="Times New Roman"/>
                <w:szCs w:val="21"/>
              </w:rPr>
            </w:pPr>
            <w:r>
              <w:rPr>
                <w:rFonts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30" w:type="dxa"/>
            <w:vAlign w:val="center"/>
          </w:tcPr>
          <w:p>
            <w:pPr>
              <w:spacing w:line="440" w:lineRule="exact"/>
              <w:jc w:val="center"/>
              <w:rPr>
                <w:rFonts w:ascii="Times New Roman" w:hAnsi="Times New Roman"/>
                <w:szCs w:val="21"/>
              </w:rPr>
            </w:pPr>
          </w:p>
        </w:tc>
        <w:tc>
          <w:tcPr>
            <w:tcW w:w="1925" w:type="dxa"/>
            <w:vAlign w:val="center"/>
          </w:tcPr>
          <w:p>
            <w:pPr>
              <w:spacing w:line="440" w:lineRule="exact"/>
              <w:jc w:val="center"/>
              <w:rPr>
                <w:rFonts w:ascii="Times New Roman" w:hAnsi="Times New Roman"/>
                <w:szCs w:val="21"/>
              </w:rPr>
            </w:pPr>
          </w:p>
        </w:tc>
        <w:tc>
          <w:tcPr>
            <w:tcW w:w="805" w:type="dxa"/>
            <w:vAlign w:val="center"/>
          </w:tcPr>
          <w:p>
            <w:pPr>
              <w:spacing w:line="440" w:lineRule="exact"/>
              <w:jc w:val="center"/>
              <w:rPr>
                <w:rFonts w:ascii="Times New Roman" w:hAnsi="Times New Roman"/>
                <w:szCs w:val="21"/>
              </w:rPr>
            </w:pPr>
          </w:p>
        </w:tc>
        <w:tc>
          <w:tcPr>
            <w:tcW w:w="960" w:type="dxa"/>
            <w:vAlign w:val="center"/>
          </w:tcPr>
          <w:p>
            <w:pPr>
              <w:spacing w:line="440" w:lineRule="exact"/>
              <w:jc w:val="center"/>
              <w:rPr>
                <w:rFonts w:ascii="Times New Roman" w:hAnsi="Times New Roman"/>
                <w:szCs w:val="21"/>
              </w:rPr>
            </w:pPr>
          </w:p>
        </w:tc>
        <w:tc>
          <w:tcPr>
            <w:tcW w:w="870" w:type="dxa"/>
            <w:vAlign w:val="center"/>
          </w:tcPr>
          <w:p>
            <w:pPr>
              <w:spacing w:line="440" w:lineRule="exact"/>
              <w:jc w:val="center"/>
              <w:rPr>
                <w:rFonts w:ascii="Times New Roman" w:hAnsi="Times New Roman"/>
                <w:szCs w:val="21"/>
              </w:rPr>
            </w:pPr>
          </w:p>
        </w:tc>
        <w:tc>
          <w:tcPr>
            <w:tcW w:w="975" w:type="dxa"/>
            <w:vAlign w:val="center"/>
          </w:tcPr>
          <w:p>
            <w:pPr>
              <w:spacing w:line="440" w:lineRule="exact"/>
              <w:jc w:val="center"/>
              <w:rPr>
                <w:rFonts w:ascii="Times New Roman" w:hAnsi="Times New Roman"/>
                <w:szCs w:val="21"/>
              </w:rPr>
            </w:pPr>
          </w:p>
        </w:tc>
        <w:tc>
          <w:tcPr>
            <w:tcW w:w="1334" w:type="dxa"/>
            <w:vAlign w:val="center"/>
          </w:tcPr>
          <w:p>
            <w:pPr>
              <w:spacing w:line="440" w:lineRule="exact"/>
              <w:jc w:val="center"/>
              <w:rPr>
                <w:rFonts w:ascii="Times New Roman" w:hAnsi="Times New Roman"/>
                <w:szCs w:val="21"/>
              </w:rPr>
            </w:pPr>
          </w:p>
        </w:tc>
        <w:tc>
          <w:tcPr>
            <w:tcW w:w="1162" w:type="dxa"/>
            <w:vAlign w:val="center"/>
          </w:tcPr>
          <w:p>
            <w:pPr>
              <w:spacing w:line="440" w:lineRule="exact"/>
              <w:jc w:val="center"/>
              <w:rPr>
                <w:rFonts w:ascii="Times New Roman" w:hAnsi="Times New Roman"/>
                <w:szCs w:val="21"/>
              </w:rPr>
            </w:pPr>
          </w:p>
        </w:tc>
      </w:tr>
    </w:tbl>
    <w:p>
      <w:pPr>
        <w:rPr>
          <w:rFonts w:ascii="Times New Roman" w:hAnsi="Times New Roman"/>
        </w:rPr>
      </w:pPr>
    </w:p>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pStyle w:val="3"/>
        <w:spacing w:after="0"/>
        <w:jc w:val="center"/>
        <w:rPr>
          <w:rFonts w:ascii="Times New Roman" w:hAnsi="Times New Roman"/>
          <w:color w:val="000000"/>
        </w:rPr>
      </w:pPr>
      <w:bookmarkStart w:id="773" w:name="_Toc5408"/>
      <w:r>
        <w:rPr>
          <w:rFonts w:ascii="Times New Roman" w:hAnsi="Times New Roman"/>
          <w:color w:val="000000"/>
        </w:rPr>
        <w:t>七、</w:t>
      </w:r>
      <w:r>
        <w:rPr>
          <w:rFonts w:ascii="Times New Roman" w:hAnsi="Times New Roman"/>
          <w:b w:val="0"/>
          <w:color w:val="000000"/>
        </w:rPr>
        <w:t>监理大纲</w:t>
      </w:r>
      <w:bookmarkEnd w:id="773"/>
    </w:p>
    <w:p>
      <w:pPr>
        <w:spacing w:line="360" w:lineRule="auto"/>
        <w:ind w:firstLine="474" w:firstLineChars="226"/>
        <w:rPr>
          <w:rFonts w:ascii="Times New Roman" w:hAnsi="Times New Roman"/>
          <w:szCs w:val="21"/>
        </w:rPr>
      </w:pPr>
      <w:r>
        <w:rPr>
          <w:rFonts w:ascii="Times New Roman" w:hAnsi="Times New Roman"/>
          <w:szCs w:val="21"/>
        </w:rPr>
        <w:t>监理大纲应包括（但不限于）下列内容：</w:t>
      </w:r>
    </w:p>
    <w:p>
      <w:pPr>
        <w:spacing w:line="360" w:lineRule="auto"/>
        <w:ind w:firstLine="474" w:firstLineChars="226"/>
        <w:rPr>
          <w:rFonts w:ascii="Times New Roman" w:hAnsi="Times New Roman"/>
          <w:szCs w:val="21"/>
        </w:rPr>
      </w:pPr>
      <w:r>
        <w:rPr>
          <w:rFonts w:ascii="Times New Roman" w:hAnsi="Times New Roman"/>
          <w:szCs w:val="21"/>
        </w:rPr>
        <w:t>一、监理工程概况；</w:t>
      </w:r>
    </w:p>
    <w:p>
      <w:pPr>
        <w:spacing w:line="360" w:lineRule="auto"/>
        <w:ind w:firstLine="474" w:firstLineChars="226"/>
        <w:rPr>
          <w:rFonts w:ascii="Times New Roman" w:hAnsi="Times New Roman"/>
          <w:szCs w:val="21"/>
        </w:rPr>
      </w:pPr>
      <w:r>
        <w:rPr>
          <w:rFonts w:ascii="Times New Roman" w:hAnsi="Times New Roman"/>
          <w:szCs w:val="21"/>
        </w:rPr>
        <w:t>二、监理范围、监理内容；</w:t>
      </w:r>
    </w:p>
    <w:p>
      <w:pPr>
        <w:spacing w:line="360" w:lineRule="auto"/>
        <w:ind w:firstLine="474" w:firstLineChars="226"/>
        <w:rPr>
          <w:rFonts w:ascii="Times New Roman" w:hAnsi="Times New Roman"/>
          <w:szCs w:val="21"/>
        </w:rPr>
      </w:pPr>
      <w:r>
        <w:rPr>
          <w:rFonts w:ascii="Times New Roman" w:hAnsi="Times New Roman"/>
          <w:szCs w:val="21"/>
        </w:rPr>
        <w:t>三、监理依据、</w:t>
      </w:r>
      <w:r>
        <w:rPr>
          <w:rFonts w:ascii="Times New Roman" w:hAnsi="Times New Roman"/>
        </w:rPr>
        <w:t>监理工作目标</w:t>
      </w:r>
      <w:r>
        <w:rPr>
          <w:rFonts w:ascii="Times New Roman" w:hAnsi="Times New Roman"/>
          <w:szCs w:val="21"/>
        </w:rPr>
        <w:t>；</w:t>
      </w:r>
    </w:p>
    <w:p>
      <w:pPr>
        <w:spacing w:line="360" w:lineRule="auto"/>
        <w:ind w:firstLine="474" w:firstLineChars="226"/>
        <w:rPr>
          <w:rFonts w:ascii="Times New Roman" w:hAnsi="Times New Roman"/>
          <w:szCs w:val="21"/>
        </w:rPr>
      </w:pPr>
      <w:r>
        <w:rPr>
          <w:rFonts w:ascii="Times New Roman" w:hAnsi="Times New Roman"/>
          <w:szCs w:val="21"/>
        </w:rPr>
        <w:t>四、监理机构设置（框图）、岗位职责；</w:t>
      </w:r>
    </w:p>
    <w:p>
      <w:pPr>
        <w:spacing w:line="360" w:lineRule="auto"/>
        <w:ind w:firstLine="474" w:firstLineChars="226"/>
        <w:rPr>
          <w:rFonts w:ascii="Times New Roman" w:hAnsi="Times New Roman"/>
          <w:szCs w:val="21"/>
        </w:rPr>
      </w:pPr>
      <w:r>
        <w:rPr>
          <w:rFonts w:ascii="Times New Roman" w:hAnsi="Times New Roman"/>
          <w:szCs w:val="21"/>
        </w:rPr>
        <w:t>五、监理工作程序、方法和制度；</w:t>
      </w:r>
    </w:p>
    <w:p>
      <w:pPr>
        <w:spacing w:line="360" w:lineRule="auto"/>
        <w:ind w:firstLine="474" w:firstLineChars="226"/>
        <w:rPr>
          <w:rFonts w:ascii="Times New Roman" w:hAnsi="Times New Roman"/>
          <w:szCs w:val="21"/>
        </w:rPr>
      </w:pPr>
      <w:r>
        <w:rPr>
          <w:rFonts w:ascii="Times New Roman" w:hAnsi="Times New Roman"/>
          <w:szCs w:val="21"/>
        </w:rPr>
        <w:t>六、拟投入的监理人员、试验检测仪器设备；</w:t>
      </w:r>
    </w:p>
    <w:p>
      <w:pPr>
        <w:spacing w:line="360" w:lineRule="auto"/>
        <w:ind w:firstLine="474" w:firstLineChars="226"/>
        <w:rPr>
          <w:rFonts w:ascii="Times New Roman" w:hAnsi="Times New Roman"/>
          <w:szCs w:val="21"/>
        </w:rPr>
      </w:pPr>
      <w:r>
        <w:rPr>
          <w:rFonts w:ascii="Times New Roman" w:hAnsi="Times New Roman"/>
          <w:szCs w:val="21"/>
        </w:rPr>
        <w:t xml:space="preserve">七、质量、进度、造价、安全、环保监理措施； </w:t>
      </w:r>
    </w:p>
    <w:p>
      <w:pPr>
        <w:spacing w:line="360" w:lineRule="auto"/>
        <w:ind w:firstLine="474" w:firstLineChars="226"/>
        <w:rPr>
          <w:rFonts w:ascii="Times New Roman" w:hAnsi="Times New Roman"/>
          <w:szCs w:val="21"/>
        </w:rPr>
      </w:pPr>
      <w:r>
        <w:rPr>
          <w:rFonts w:ascii="Times New Roman" w:hAnsi="Times New Roman"/>
          <w:szCs w:val="21"/>
        </w:rPr>
        <w:t>八、合同、信息管理方案；</w:t>
      </w:r>
    </w:p>
    <w:p>
      <w:pPr>
        <w:spacing w:line="360" w:lineRule="auto"/>
        <w:ind w:firstLine="474" w:firstLineChars="226"/>
        <w:rPr>
          <w:rFonts w:ascii="Times New Roman" w:hAnsi="Times New Roman"/>
          <w:szCs w:val="21"/>
        </w:rPr>
      </w:pPr>
      <w:r>
        <w:rPr>
          <w:rFonts w:hint="eastAsia" w:ascii="Times New Roman" w:hAnsi="Times New Roman"/>
          <w:szCs w:val="21"/>
          <w:lang w:val="en-US" w:eastAsia="zh-CN"/>
        </w:rPr>
        <w:t>九</w:t>
      </w:r>
      <w:r>
        <w:rPr>
          <w:rFonts w:ascii="Times New Roman" w:hAnsi="Times New Roman"/>
          <w:szCs w:val="21"/>
        </w:rPr>
        <w:t>、组织协调内容及措施；</w:t>
      </w:r>
    </w:p>
    <w:p>
      <w:pPr>
        <w:spacing w:line="360" w:lineRule="auto"/>
        <w:ind w:firstLine="474" w:firstLineChars="226"/>
        <w:rPr>
          <w:rFonts w:ascii="Times New Roman" w:hAnsi="Times New Roman"/>
          <w:szCs w:val="21"/>
        </w:rPr>
      </w:pPr>
      <w:r>
        <w:rPr>
          <w:rFonts w:ascii="Times New Roman" w:hAnsi="Times New Roman"/>
          <w:szCs w:val="21"/>
        </w:rPr>
        <w:t>十、监理工作重点、难点分析；</w:t>
      </w:r>
    </w:p>
    <w:p>
      <w:pPr>
        <w:spacing w:line="360" w:lineRule="auto"/>
        <w:ind w:firstLine="474" w:firstLineChars="226"/>
        <w:rPr>
          <w:rFonts w:ascii="Times New Roman" w:hAnsi="Times New Roman"/>
        </w:rPr>
      </w:pPr>
      <w:r>
        <w:rPr>
          <w:rFonts w:ascii="Times New Roman" w:hAnsi="Times New Roman"/>
          <w:szCs w:val="21"/>
        </w:rPr>
        <w:t>十</w:t>
      </w:r>
      <w:r>
        <w:rPr>
          <w:rFonts w:hint="eastAsia" w:ascii="Times New Roman" w:hAnsi="Times New Roman"/>
          <w:szCs w:val="21"/>
          <w:lang w:val="en-US" w:eastAsia="zh-CN"/>
        </w:rPr>
        <w:t>一</w:t>
      </w:r>
      <w:r>
        <w:rPr>
          <w:rFonts w:ascii="Times New Roman" w:hAnsi="Times New Roman"/>
          <w:szCs w:val="21"/>
        </w:rPr>
        <w:t>、对本工程监理的合理化建议。</w:t>
      </w:r>
    </w:p>
    <w:p>
      <w:pPr>
        <w:rPr>
          <w:rFonts w:ascii="Times New Roman" w:hAnsi="Times New Roman"/>
        </w:rPr>
      </w:pPr>
    </w:p>
    <w:p>
      <w:pPr>
        <w:pStyle w:val="3"/>
        <w:spacing w:line="400" w:lineRule="exact"/>
        <w:jc w:val="center"/>
        <w:rPr>
          <w:rFonts w:ascii="Times New Roman" w:hAnsi="Times New Roman"/>
        </w:rPr>
      </w:pPr>
      <w:r>
        <w:rPr>
          <w:rFonts w:ascii="Times New Roman" w:hAnsi="Times New Roman"/>
        </w:rPr>
        <w:br w:type="page"/>
      </w:r>
      <w:bookmarkStart w:id="774" w:name="_Toc20386"/>
      <w:r>
        <w:rPr>
          <w:rFonts w:ascii="Times New Roman" w:hAnsi="Times New Roman"/>
          <w:color w:val="000000"/>
        </w:rPr>
        <w:t>八、</w:t>
      </w:r>
      <w:r>
        <w:rPr>
          <w:rFonts w:hint="eastAsia" w:ascii="Times New Roman" w:hAnsi="Times New Roman"/>
          <w:color w:val="000000"/>
          <w:lang w:val="en-US" w:eastAsia="zh-CN"/>
        </w:rPr>
        <w:t>投标人须知前附表规定的</w:t>
      </w:r>
      <w:r>
        <w:rPr>
          <w:rFonts w:ascii="Times New Roman" w:hAnsi="Times New Roman"/>
          <w:color w:val="000000"/>
        </w:rPr>
        <w:t>其他资料</w:t>
      </w:r>
      <w:bookmarkEnd w:id="774"/>
    </w:p>
    <w:p>
      <w:pPr>
        <w:rPr>
          <w:rFonts w:ascii="Times New Roman" w:hAnsi="Times New Roman"/>
        </w:rPr>
      </w:pPr>
    </w:p>
    <w:p>
      <w:pPr>
        <w:jc w:val="center"/>
        <w:rPr>
          <w:rFonts w:hint="eastAsia" w:ascii="Times New Roman" w:hAnsi="Times New Roman"/>
          <w:b/>
          <w:bCs/>
          <w:color w:val="000000"/>
          <w:sz w:val="28"/>
          <w:szCs w:val="32"/>
          <w:highlight w:val="none"/>
          <w:lang w:val="en-US" w:eastAsia="zh-CN"/>
        </w:rPr>
      </w:pPr>
      <w:r>
        <w:rPr>
          <w:rFonts w:ascii="Times New Roman" w:hAnsi="Times New Roman"/>
          <w:b/>
          <w:bCs/>
          <w:color w:val="000000"/>
          <w:sz w:val="28"/>
          <w:szCs w:val="32"/>
          <w:highlight w:val="none"/>
        </w:rPr>
        <w:t>不存在禁止投标的情形</w:t>
      </w:r>
      <w:r>
        <w:rPr>
          <w:rFonts w:hint="eastAsia" w:ascii="Times New Roman" w:hAnsi="Times New Roman"/>
          <w:b/>
          <w:bCs/>
          <w:color w:val="000000"/>
          <w:sz w:val="28"/>
          <w:szCs w:val="32"/>
          <w:highlight w:val="none"/>
          <w:lang w:val="en-US" w:eastAsia="zh-CN"/>
        </w:rPr>
        <w:t>承诺函</w:t>
      </w:r>
    </w:p>
    <w:p>
      <w:pPr>
        <w:rPr>
          <w:rFonts w:hint="eastAsia" w:ascii="Times New Roman" w:hAnsi="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呼和浩特</w:t>
      </w:r>
      <w:r>
        <w:rPr>
          <w:rFonts w:hint="eastAsia" w:ascii="宋体" w:hAnsi="宋体" w:eastAsia="宋体" w:cs="宋体"/>
          <w:sz w:val="24"/>
          <w:szCs w:val="24"/>
          <w:highlight w:val="none"/>
        </w:rPr>
        <w:t>市住房和城乡建设局、本招标项目招标人及招标监管机构：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本公司就参加投标工作，作出郑重声明：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一、本公司保证投标报名及其后提供的一切材料都是真实的。如我司成为本项目中标候选人，我司同意并授权招标人将我司投标文件商务部分的人员、业绩、奖项等资料进行公开。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二、本公司保证在本项目投标中不与其他单位围标、串标，不出让投标资格，不向招标人或评标委员会成员行贿。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三、本公司不存在下列情形之一：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（7）与本招标项目的代建人或招标代理机构同为一个法定代表人；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（10）被依法暂停或者取消</w:t>
      </w:r>
      <w:r>
        <w:rPr>
          <w:rFonts w:hint="eastAsia" w:ascii="宋体" w:hAnsi="宋体" w:eastAsia="宋体" w:cs="宋体"/>
          <w:sz w:val="24"/>
          <w:szCs w:val="24"/>
          <w:highlight w:val="none"/>
          <w:lang w:val="en-US" w:eastAsia="zh-CN"/>
        </w:rPr>
        <w:t>在项目所在地</w:t>
      </w:r>
      <w:r>
        <w:rPr>
          <w:rFonts w:hint="eastAsia" w:ascii="宋体" w:hAnsi="宋体" w:eastAsia="宋体" w:cs="宋体"/>
          <w:sz w:val="24"/>
          <w:szCs w:val="24"/>
          <w:highlight w:val="none"/>
        </w:rPr>
        <w:t>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（13）在最近三年内发生重大</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质量问题(以具有管辖权相关行业主管部门的行政处罚决或司法机关出具的有关法律文书为准)；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24"/>
          <w:highlight w:val="none"/>
        </w:rPr>
      </w:pPr>
      <w:r>
        <w:commentReference w:id="12"/>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、与本公司单位负责人为同一人或者与本公司存在控股、管理关系的其他单位包括：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。（注：本条由投标人如实填写，如有，应列出全部满足招标公告资质要求的相关单位的名称；如无，则填写“无”。）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声明企业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或委托代理人</w:t>
      </w:r>
      <w:r>
        <w:rPr>
          <w:rFonts w:hint="eastAsia" w:ascii="宋体" w:hAnsi="宋体" w:eastAsia="宋体" w:cs="宋体"/>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24"/>
        <w:keepNext w:val="0"/>
        <w:keepLines w:val="0"/>
        <w:pageBreakBefore w:val="0"/>
        <w:widowControl w:val="0"/>
        <w:kinsoku/>
        <w:wordWrap w:val="0"/>
        <w:overflowPunct/>
        <w:topLinePunct w:val="0"/>
        <w:autoSpaceDE/>
        <w:autoSpaceDN/>
        <w:bidi w:val="0"/>
        <w:adjustRightInd/>
        <w:spacing w:line="360" w:lineRule="auto"/>
        <w:ind w:firstLine="480" w:firstLineChars="200"/>
        <w:jc w:val="right"/>
        <w:textAlignment w:val="auto"/>
        <w:rPr>
          <w:rFonts w:ascii="Times New Roman" w:hAnsi="Times New Roman"/>
        </w:rPr>
      </w:pPr>
      <w:r>
        <w:rPr>
          <w:rFonts w:hint="eastAsia" w:ascii="宋体" w:hAnsi="宋体" w:eastAsia="宋体" w:cs="宋体"/>
          <w:sz w:val="24"/>
          <w:szCs w:val="24"/>
          <w:highlight w:val="none"/>
        </w:rPr>
        <w:t xml:space="preserve">                                                       （企业公章）</w:t>
      </w:r>
    </w:p>
    <w:sectPr>
      <w:footerReference r:id="rId5" w:type="default"/>
      <w:type w:val="continuous"/>
      <w:pgSz w:w="12240" w:h="15840"/>
      <w:pgMar w:top="1440" w:right="1800" w:bottom="1440" w:left="1800" w:header="720" w:footer="720" w:gutter="0"/>
      <w:cols w:space="720" w:num="1"/>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lj17" w:date="2023-06-05T10:45:14Z" w:initials="h">
    <w:p w14:paraId="28504F0A">
      <w:pPr>
        <w:pStyle w:val="14"/>
        <w:rPr>
          <w:rFonts w:hint="default" w:eastAsia="宋体"/>
          <w:lang w:val="en-US" w:eastAsia="zh-CN"/>
        </w:rPr>
      </w:pPr>
      <w:r>
        <w:rPr>
          <w:rFonts w:hint="eastAsia"/>
          <w:lang w:val="en-US" w:eastAsia="zh-CN"/>
        </w:rPr>
        <w:t>修改说法</w:t>
      </w:r>
    </w:p>
  </w:comment>
  <w:comment w:id="1" w:author="hlj17" w:date="2023-06-05T10:45:48Z" w:initials="h">
    <w:p w14:paraId="17BE22AC">
      <w:pPr>
        <w:pStyle w:val="14"/>
        <w:rPr>
          <w:rFonts w:hint="default" w:eastAsia="宋体"/>
          <w:lang w:val="en-US" w:eastAsia="zh-CN"/>
        </w:rPr>
      </w:pPr>
      <w:r>
        <w:rPr>
          <w:rFonts w:hint="eastAsia"/>
          <w:lang w:val="en-US" w:eastAsia="zh-CN"/>
        </w:rPr>
        <w:t>删除原15条</w:t>
      </w:r>
    </w:p>
  </w:comment>
  <w:comment w:id="2" w:author="hlj17" w:date="2023-06-07T10:15:02Z" w:initials="h">
    <w:p w14:paraId="14EA6805">
      <w:pPr>
        <w:pStyle w:val="14"/>
        <w:rPr>
          <w:rFonts w:hint="default" w:eastAsia="宋体"/>
          <w:lang w:val="en-US" w:eastAsia="zh-CN"/>
        </w:rPr>
      </w:pPr>
      <w:r>
        <w:rPr>
          <w:rFonts w:hint="eastAsia"/>
          <w:lang w:val="en-US" w:eastAsia="zh-CN"/>
        </w:rPr>
        <w:t>删除将</w:t>
      </w:r>
    </w:p>
  </w:comment>
  <w:comment w:id="3" w:author="hlj17" w:date="2023-06-05T10:48:25Z" w:initials="h">
    <w:p w14:paraId="448F7083">
      <w:pPr>
        <w:pStyle w:val="14"/>
        <w:rPr>
          <w:rFonts w:hint="default" w:eastAsia="宋体"/>
          <w:lang w:val="en-US" w:eastAsia="zh-CN"/>
        </w:rPr>
      </w:pPr>
      <w:r>
        <w:rPr>
          <w:rFonts w:hint="eastAsia"/>
          <w:lang w:eastAsia="zh-CN"/>
        </w:rPr>
        <w:t>？</w:t>
      </w:r>
      <w:r>
        <w:rPr>
          <w:rFonts w:hint="eastAsia"/>
          <w:lang w:val="en-US" w:eastAsia="zh-CN"/>
        </w:rPr>
        <w:t>修改</w:t>
      </w:r>
    </w:p>
  </w:comment>
  <w:comment w:id="4" w:author="hlj17" w:date="2023-06-05T10:48:35Z" w:initials="h">
    <w:p w14:paraId="4C102ACF">
      <w:pPr>
        <w:pStyle w:val="14"/>
        <w:rPr>
          <w:rFonts w:hint="default" w:eastAsia="宋体"/>
          <w:lang w:val="en-US" w:eastAsia="zh-CN"/>
        </w:rPr>
      </w:pPr>
      <w:r>
        <w:rPr>
          <w:rFonts w:hint="eastAsia"/>
          <w:lang w:val="en-US" w:eastAsia="zh-CN"/>
        </w:rPr>
        <w:t>删除坚持、、、、、</w:t>
      </w:r>
    </w:p>
  </w:comment>
  <w:comment w:id="5" w:author="hlj17" w:date="2023-06-05T10:49:23Z" w:initials="h">
    <w:p w14:paraId="4C233ABB">
      <w:pPr>
        <w:pStyle w:val="14"/>
        <w:rPr>
          <w:rFonts w:hint="default" w:eastAsia="宋体"/>
          <w:lang w:val="en-US" w:eastAsia="zh-CN"/>
        </w:rPr>
      </w:pPr>
      <w:r>
        <w:rPr>
          <w:rFonts w:hint="eastAsia"/>
          <w:lang w:val="en-US" w:eastAsia="zh-CN"/>
        </w:rPr>
        <w:t>修改说法</w:t>
      </w:r>
    </w:p>
  </w:comment>
  <w:comment w:id="6" w:author="hlj17" w:date="2023-06-05T10:06:21Z" w:initials="h">
    <w:p w14:paraId="5E2B41A2">
      <w:pPr>
        <w:pStyle w:val="14"/>
        <w:rPr>
          <w:rFonts w:hint="default" w:eastAsia="宋体"/>
          <w:lang w:val="en-US" w:eastAsia="zh-CN"/>
        </w:rPr>
      </w:pPr>
      <w:r>
        <w:rPr>
          <w:rFonts w:hint="eastAsia"/>
          <w:lang w:val="en-US" w:eastAsia="zh-CN"/>
        </w:rPr>
        <w:t>固化内容</w:t>
      </w:r>
    </w:p>
  </w:comment>
  <w:comment w:id="7" w:author="hlj17" w:date="2023-06-05T10:16:08Z" w:initials="h">
    <w:p w14:paraId="113462F0">
      <w:pPr>
        <w:pStyle w:val="14"/>
        <w:rPr>
          <w:rFonts w:hint="default" w:eastAsia="宋体"/>
          <w:lang w:val="en-US" w:eastAsia="zh-CN"/>
        </w:rPr>
      </w:pPr>
      <w:r>
        <w:rPr>
          <w:rFonts w:hint="eastAsia"/>
          <w:lang w:val="en-US" w:eastAsia="zh-CN"/>
        </w:rPr>
        <w:t>增加加分项</w:t>
      </w:r>
    </w:p>
  </w:comment>
  <w:comment w:id="8" w:author="hlj17" w:date="2023-06-05T10:55:34Z" w:initials="h">
    <w:p w14:paraId="0BE42D9F">
      <w:pPr>
        <w:pStyle w:val="14"/>
        <w:rPr>
          <w:rFonts w:hint="default" w:eastAsia="宋体"/>
          <w:lang w:val="en-US" w:eastAsia="zh-CN"/>
        </w:rPr>
      </w:pPr>
      <w:r>
        <w:rPr>
          <w:rFonts w:hint="eastAsia"/>
          <w:lang w:val="en-US" w:eastAsia="zh-CN"/>
        </w:rPr>
        <w:t>修改说法</w:t>
      </w:r>
    </w:p>
  </w:comment>
  <w:comment w:id="9" w:author="hlj17" w:date="2023-06-05T10:57:17Z" w:initials="h">
    <w:p w14:paraId="62E21AF2">
      <w:pPr>
        <w:pStyle w:val="14"/>
        <w:rPr>
          <w:rFonts w:hint="default" w:eastAsia="宋体"/>
          <w:lang w:val="en-US" w:eastAsia="zh-CN"/>
        </w:rPr>
      </w:pPr>
      <w:r>
        <w:rPr>
          <w:rFonts w:hint="eastAsia"/>
          <w:lang w:val="en-US" w:eastAsia="zh-CN"/>
        </w:rPr>
        <w:t>统一说法</w:t>
      </w:r>
    </w:p>
  </w:comment>
  <w:comment w:id="10" w:author="hlj17" w:date="2023-06-05T10:36:16Z" w:initials="h">
    <w:p w14:paraId="6F7F13B6">
      <w:pPr>
        <w:pStyle w:val="14"/>
        <w:rPr>
          <w:rFonts w:hint="default" w:eastAsia="宋体"/>
          <w:lang w:val="en-US" w:eastAsia="zh-CN"/>
        </w:rPr>
      </w:pPr>
      <w:r>
        <w:rPr>
          <w:rFonts w:hint="eastAsia"/>
          <w:lang w:val="en-US" w:eastAsia="zh-CN"/>
        </w:rPr>
        <w:t>修改样式</w:t>
      </w:r>
    </w:p>
  </w:comment>
  <w:comment w:id="11" w:author="hlj17" w:date="2023-06-05T10:36:25Z" w:initials="h">
    <w:p w14:paraId="10A938C9">
      <w:pPr>
        <w:pStyle w:val="14"/>
        <w:rPr>
          <w:rFonts w:hint="default" w:eastAsia="宋体"/>
          <w:lang w:val="en-US" w:eastAsia="zh-CN"/>
        </w:rPr>
      </w:pPr>
      <w:r>
        <w:rPr>
          <w:rFonts w:hint="eastAsia"/>
          <w:lang w:val="en-US" w:eastAsia="zh-CN"/>
        </w:rPr>
        <w:t>修改样式</w:t>
      </w:r>
    </w:p>
  </w:comment>
  <w:comment w:id="12" w:author="hlj17" w:date="2023-06-05T10:37:18Z" w:initials="h">
    <w:p w14:paraId="506B50C5">
      <w:pPr>
        <w:pStyle w:val="14"/>
        <w:rPr>
          <w:rFonts w:hint="default" w:eastAsia="宋体"/>
          <w:lang w:val="en-US" w:eastAsia="zh-CN"/>
        </w:rPr>
      </w:pPr>
      <w:r>
        <w:rPr>
          <w:rFonts w:hint="eastAsia"/>
          <w:lang w:val="en-US" w:eastAsia="zh-CN"/>
        </w:rPr>
        <w:t>删除原15条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504F0A" w15:done="0"/>
  <w15:commentEx w15:paraId="17BE22AC" w15:done="0"/>
  <w15:commentEx w15:paraId="14EA6805" w15:done="0"/>
  <w15:commentEx w15:paraId="448F7083" w15:done="0"/>
  <w15:commentEx w15:paraId="4C102ACF" w15:done="0"/>
  <w15:commentEx w15:paraId="4C233ABB" w15:done="0"/>
  <w15:commentEx w15:paraId="5E2B41A2" w15:done="0"/>
  <w15:commentEx w15:paraId="113462F0" w15:done="0"/>
  <w15:commentEx w15:paraId="0BE42D9F" w15:done="0"/>
  <w15:commentEx w15:paraId="62E21AF2" w15:done="0"/>
  <w15:commentEx w15:paraId="6F7F13B6" w15:done="0"/>
  <w15:commentEx w15:paraId="10A938C9" w15:done="0"/>
  <w15:commentEx w15:paraId="506B50C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73</w:t>
    </w:r>
    <w:r>
      <w:rPr>
        <w:lang w:val="zh-CN"/>
      </w:rPr>
      <w:fldChar w:fldCharType="end"/>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60AF0"/>
    <w:multiLevelType w:val="singleLevel"/>
    <w:tmpl w:val="05160AF0"/>
    <w:lvl w:ilvl="0" w:tentative="0">
      <w:start w:val="1"/>
      <w:numFmt w:val="decimal"/>
      <w:lvlText w:val="%1."/>
      <w:lvlJc w:val="left"/>
      <w:pPr>
        <w:tabs>
          <w:tab w:val="left" w:pos="312"/>
        </w:tabs>
      </w:pPr>
    </w:lvl>
  </w:abstractNum>
  <w:abstractNum w:abstractNumId="1">
    <w:nsid w:val="7943CE33"/>
    <w:multiLevelType w:val="singleLevel"/>
    <w:tmpl w:val="7943CE33"/>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lj17">
    <w15:presenceInfo w15:providerId="None" w15:userId="hlj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5OTIwMTVkMWFlZWYwNDQ4N2Y0NDExZWU3MWNiMDcifQ=="/>
  </w:docVars>
  <w:rsids>
    <w:rsidRoot w:val="00172A27"/>
    <w:rsid w:val="00002A60"/>
    <w:rsid w:val="00004603"/>
    <w:rsid w:val="00007319"/>
    <w:rsid w:val="000106AE"/>
    <w:rsid w:val="000109BA"/>
    <w:rsid w:val="000113EC"/>
    <w:rsid w:val="00011684"/>
    <w:rsid w:val="00012703"/>
    <w:rsid w:val="0001485E"/>
    <w:rsid w:val="00020140"/>
    <w:rsid w:val="00020F53"/>
    <w:rsid w:val="00021BFE"/>
    <w:rsid w:val="000250D6"/>
    <w:rsid w:val="00025ACC"/>
    <w:rsid w:val="00026171"/>
    <w:rsid w:val="00026AA0"/>
    <w:rsid w:val="0002793E"/>
    <w:rsid w:val="00027FC6"/>
    <w:rsid w:val="00030736"/>
    <w:rsid w:val="00032762"/>
    <w:rsid w:val="000351AE"/>
    <w:rsid w:val="00043778"/>
    <w:rsid w:val="00045007"/>
    <w:rsid w:val="00046C42"/>
    <w:rsid w:val="00062AC6"/>
    <w:rsid w:val="00065A9E"/>
    <w:rsid w:val="000668F1"/>
    <w:rsid w:val="00067035"/>
    <w:rsid w:val="00070145"/>
    <w:rsid w:val="0007298C"/>
    <w:rsid w:val="0008132B"/>
    <w:rsid w:val="00081360"/>
    <w:rsid w:val="0008253E"/>
    <w:rsid w:val="00087558"/>
    <w:rsid w:val="0009240C"/>
    <w:rsid w:val="000943B0"/>
    <w:rsid w:val="00094C66"/>
    <w:rsid w:val="000A118B"/>
    <w:rsid w:val="000A287B"/>
    <w:rsid w:val="000A5C81"/>
    <w:rsid w:val="000A76B3"/>
    <w:rsid w:val="000B65E2"/>
    <w:rsid w:val="000B676B"/>
    <w:rsid w:val="000C0018"/>
    <w:rsid w:val="000C0AF1"/>
    <w:rsid w:val="000C1A9B"/>
    <w:rsid w:val="000C2AB5"/>
    <w:rsid w:val="000C4710"/>
    <w:rsid w:val="000C4924"/>
    <w:rsid w:val="000C6FFB"/>
    <w:rsid w:val="000C7A74"/>
    <w:rsid w:val="000D204D"/>
    <w:rsid w:val="000D3177"/>
    <w:rsid w:val="000D4336"/>
    <w:rsid w:val="000D49B4"/>
    <w:rsid w:val="000E08CB"/>
    <w:rsid w:val="000E2EFB"/>
    <w:rsid w:val="000E5673"/>
    <w:rsid w:val="000E7256"/>
    <w:rsid w:val="000F2186"/>
    <w:rsid w:val="000F2A12"/>
    <w:rsid w:val="000F2ECC"/>
    <w:rsid w:val="000F44D2"/>
    <w:rsid w:val="001011FC"/>
    <w:rsid w:val="00102618"/>
    <w:rsid w:val="00102F0B"/>
    <w:rsid w:val="00105423"/>
    <w:rsid w:val="001119B6"/>
    <w:rsid w:val="00115124"/>
    <w:rsid w:val="00117F0F"/>
    <w:rsid w:val="00123706"/>
    <w:rsid w:val="0012660F"/>
    <w:rsid w:val="001270CD"/>
    <w:rsid w:val="0014098E"/>
    <w:rsid w:val="00145049"/>
    <w:rsid w:val="001530C6"/>
    <w:rsid w:val="00170389"/>
    <w:rsid w:val="00172A27"/>
    <w:rsid w:val="001735B4"/>
    <w:rsid w:val="001748A3"/>
    <w:rsid w:val="00182B11"/>
    <w:rsid w:val="00183748"/>
    <w:rsid w:val="00183B4A"/>
    <w:rsid w:val="00186361"/>
    <w:rsid w:val="00193C1D"/>
    <w:rsid w:val="001A067F"/>
    <w:rsid w:val="001A093D"/>
    <w:rsid w:val="001A0CCF"/>
    <w:rsid w:val="001A2E05"/>
    <w:rsid w:val="001A304A"/>
    <w:rsid w:val="001A4491"/>
    <w:rsid w:val="001A4684"/>
    <w:rsid w:val="001B1289"/>
    <w:rsid w:val="001B174D"/>
    <w:rsid w:val="001B4065"/>
    <w:rsid w:val="001B5478"/>
    <w:rsid w:val="001B7FEF"/>
    <w:rsid w:val="001C122A"/>
    <w:rsid w:val="001C30C7"/>
    <w:rsid w:val="001C4420"/>
    <w:rsid w:val="001D414D"/>
    <w:rsid w:val="001E1433"/>
    <w:rsid w:val="001F2208"/>
    <w:rsid w:val="001F285E"/>
    <w:rsid w:val="001F4134"/>
    <w:rsid w:val="001F45EE"/>
    <w:rsid w:val="001F4850"/>
    <w:rsid w:val="001F619D"/>
    <w:rsid w:val="00204A5C"/>
    <w:rsid w:val="00207A0B"/>
    <w:rsid w:val="0021226E"/>
    <w:rsid w:val="00212A53"/>
    <w:rsid w:val="0021322F"/>
    <w:rsid w:val="00213B90"/>
    <w:rsid w:val="00215AF0"/>
    <w:rsid w:val="00221FAC"/>
    <w:rsid w:val="002229E2"/>
    <w:rsid w:val="0022434B"/>
    <w:rsid w:val="00230836"/>
    <w:rsid w:val="0023423F"/>
    <w:rsid w:val="00237B0E"/>
    <w:rsid w:val="002430C2"/>
    <w:rsid w:val="00246A0E"/>
    <w:rsid w:val="00250CB7"/>
    <w:rsid w:val="00251A49"/>
    <w:rsid w:val="002521B3"/>
    <w:rsid w:val="0025316D"/>
    <w:rsid w:val="0025460A"/>
    <w:rsid w:val="00255D0D"/>
    <w:rsid w:val="00260C77"/>
    <w:rsid w:val="00261352"/>
    <w:rsid w:val="00263F0B"/>
    <w:rsid w:val="00264EB1"/>
    <w:rsid w:val="00271923"/>
    <w:rsid w:val="0027292C"/>
    <w:rsid w:val="00272A39"/>
    <w:rsid w:val="00276C71"/>
    <w:rsid w:val="00281526"/>
    <w:rsid w:val="0028346F"/>
    <w:rsid w:val="00285406"/>
    <w:rsid w:val="00294A20"/>
    <w:rsid w:val="002A4926"/>
    <w:rsid w:val="002A552C"/>
    <w:rsid w:val="002A65ED"/>
    <w:rsid w:val="002C0C29"/>
    <w:rsid w:val="002C31DD"/>
    <w:rsid w:val="002C3CD8"/>
    <w:rsid w:val="002C636F"/>
    <w:rsid w:val="002C7B9B"/>
    <w:rsid w:val="002D2B90"/>
    <w:rsid w:val="002D6292"/>
    <w:rsid w:val="002D6F32"/>
    <w:rsid w:val="002D7B78"/>
    <w:rsid w:val="002E1DAC"/>
    <w:rsid w:val="002E6D05"/>
    <w:rsid w:val="002F72A0"/>
    <w:rsid w:val="00301EBE"/>
    <w:rsid w:val="00311324"/>
    <w:rsid w:val="00311BD5"/>
    <w:rsid w:val="003122C4"/>
    <w:rsid w:val="00314419"/>
    <w:rsid w:val="00314AF6"/>
    <w:rsid w:val="0032031D"/>
    <w:rsid w:val="003214BA"/>
    <w:rsid w:val="00321647"/>
    <w:rsid w:val="00321989"/>
    <w:rsid w:val="003243EC"/>
    <w:rsid w:val="003247CD"/>
    <w:rsid w:val="00330D54"/>
    <w:rsid w:val="00332962"/>
    <w:rsid w:val="003362AD"/>
    <w:rsid w:val="00342688"/>
    <w:rsid w:val="0034440E"/>
    <w:rsid w:val="00347899"/>
    <w:rsid w:val="00350F3E"/>
    <w:rsid w:val="0035125A"/>
    <w:rsid w:val="003518D6"/>
    <w:rsid w:val="00354B7A"/>
    <w:rsid w:val="00363966"/>
    <w:rsid w:val="003741B0"/>
    <w:rsid w:val="00375481"/>
    <w:rsid w:val="0038240C"/>
    <w:rsid w:val="0038359A"/>
    <w:rsid w:val="003865F8"/>
    <w:rsid w:val="00386AA0"/>
    <w:rsid w:val="00387996"/>
    <w:rsid w:val="00391F03"/>
    <w:rsid w:val="003937D8"/>
    <w:rsid w:val="0039407B"/>
    <w:rsid w:val="003A2368"/>
    <w:rsid w:val="003A593E"/>
    <w:rsid w:val="003A6775"/>
    <w:rsid w:val="003B1B15"/>
    <w:rsid w:val="003C0D7D"/>
    <w:rsid w:val="003C4858"/>
    <w:rsid w:val="003C5BB3"/>
    <w:rsid w:val="003D1170"/>
    <w:rsid w:val="003D1B8E"/>
    <w:rsid w:val="003D2D72"/>
    <w:rsid w:val="003D36EE"/>
    <w:rsid w:val="003D4394"/>
    <w:rsid w:val="003D6E0A"/>
    <w:rsid w:val="003F3518"/>
    <w:rsid w:val="003F504F"/>
    <w:rsid w:val="003F5B69"/>
    <w:rsid w:val="00407637"/>
    <w:rsid w:val="004105EF"/>
    <w:rsid w:val="00415A1A"/>
    <w:rsid w:val="0042326A"/>
    <w:rsid w:val="00423F96"/>
    <w:rsid w:val="004249F9"/>
    <w:rsid w:val="00431F4F"/>
    <w:rsid w:val="0043351E"/>
    <w:rsid w:val="00433676"/>
    <w:rsid w:val="00436504"/>
    <w:rsid w:val="004405C7"/>
    <w:rsid w:val="00441D39"/>
    <w:rsid w:val="00442AF8"/>
    <w:rsid w:val="0044514A"/>
    <w:rsid w:val="00447E59"/>
    <w:rsid w:val="00457DC2"/>
    <w:rsid w:val="00465E37"/>
    <w:rsid w:val="00466339"/>
    <w:rsid w:val="0046780A"/>
    <w:rsid w:val="004733D3"/>
    <w:rsid w:val="004809EB"/>
    <w:rsid w:val="00487315"/>
    <w:rsid w:val="00494530"/>
    <w:rsid w:val="00494624"/>
    <w:rsid w:val="00495001"/>
    <w:rsid w:val="004977CA"/>
    <w:rsid w:val="004A112E"/>
    <w:rsid w:val="004A76F2"/>
    <w:rsid w:val="004B4C84"/>
    <w:rsid w:val="004B51E3"/>
    <w:rsid w:val="004B5467"/>
    <w:rsid w:val="004B6ED7"/>
    <w:rsid w:val="004D0866"/>
    <w:rsid w:val="004D0DD7"/>
    <w:rsid w:val="004D1209"/>
    <w:rsid w:val="004D2ABE"/>
    <w:rsid w:val="004D34EB"/>
    <w:rsid w:val="004D4247"/>
    <w:rsid w:val="004D7237"/>
    <w:rsid w:val="004D794D"/>
    <w:rsid w:val="004D7FCB"/>
    <w:rsid w:val="004E0C05"/>
    <w:rsid w:val="004E3473"/>
    <w:rsid w:val="004F0052"/>
    <w:rsid w:val="004F1425"/>
    <w:rsid w:val="004F2BD3"/>
    <w:rsid w:val="004F3309"/>
    <w:rsid w:val="00501AEF"/>
    <w:rsid w:val="005034E3"/>
    <w:rsid w:val="00506A2D"/>
    <w:rsid w:val="0050739A"/>
    <w:rsid w:val="0050760D"/>
    <w:rsid w:val="005100DC"/>
    <w:rsid w:val="00511660"/>
    <w:rsid w:val="00512A0D"/>
    <w:rsid w:val="00517CCE"/>
    <w:rsid w:val="00517D83"/>
    <w:rsid w:val="005229A0"/>
    <w:rsid w:val="00522D50"/>
    <w:rsid w:val="00527D92"/>
    <w:rsid w:val="00531BAF"/>
    <w:rsid w:val="00537781"/>
    <w:rsid w:val="00537C89"/>
    <w:rsid w:val="005409DB"/>
    <w:rsid w:val="00542C62"/>
    <w:rsid w:val="00543F5F"/>
    <w:rsid w:val="00545698"/>
    <w:rsid w:val="00546149"/>
    <w:rsid w:val="00555089"/>
    <w:rsid w:val="005565F1"/>
    <w:rsid w:val="00562259"/>
    <w:rsid w:val="005655BD"/>
    <w:rsid w:val="00573B46"/>
    <w:rsid w:val="00573C8F"/>
    <w:rsid w:val="00576C5E"/>
    <w:rsid w:val="00577C17"/>
    <w:rsid w:val="00580957"/>
    <w:rsid w:val="0058248B"/>
    <w:rsid w:val="005824FB"/>
    <w:rsid w:val="005827A7"/>
    <w:rsid w:val="00585B39"/>
    <w:rsid w:val="00586041"/>
    <w:rsid w:val="00586955"/>
    <w:rsid w:val="00591B1C"/>
    <w:rsid w:val="005955BA"/>
    <w:rsid w:val="005A0B59"/>
    <w:rsid w:val="005A245A"/>
    <w:rsid w:val="005A2C7B"/>
    <w:rsid w:val="005A328C"/>
    <w:rsid w:val="005A689F"/>
    <w:rsid w:val="005A7987"/>
    <w:rsid w:val="005B0F9A"/>
    <w:rsid w:val="005B1A42"/>
    <w:rsid w:val="005B1D03"/>
    <w:rsid w:val="005B46BD"/>
    <w:rsid w:val="005B4DB1"/>
    <w:rsid w:val="005B6D33"/>
    <w:rsid w:val="005C162E"/>
    <w:rsid w:val="005C1B19"/>
    <w:rsid w:val="005C25C7"/>
    <w:rsid w:val="005C417A"/>
    <w:rsid w:val="005D22FC"/>
    <w:rsid w:val="005D3D41"/>
    <w:rsid w:val="005D736F"/>
    <w:rsid w:val="005E4F70"/>
    <w:rsid w:val="005E7CE8"/>
    <w:rsid w:val="005F162E"/>
    <w:rsid w:val="005F16C3"/>
    <w:rsid w:val="005F328B"/>
    <w:rsid w:val="005F6547"/>
    <w:rsid w:val="005F74F3"/>
    <w:rsid w:val="0060161F"/>
    <w:rsid w:val="00601E1E"/>
    <w:rsid w:val="00605A28"/>
    <w:rsid w:val="00610DD1"/>
    <w:rsid w:val="00613604"/>
    <w:rsid w:val="00614E98"/>
    <w:rsid w:val="0062295C"/>
    <w:rsid w:val="00623AD2"/>
    <w:rsid w:val="006259BD"/>
    <w:rsid w:val="00627B16"/>
    <w:rsid w:val="00632B51"/>
    <w:rsid w:val="00633021"/>
    <w:rsid w:val="00633CD9"/>
    <w:rsid w:val="00636962"/>
    <w:rsid w:val="006410D9"/>
    <w:rsid w:val="0064474B"/>
    <w:rsid w:val="00644C71"/>
    <w:rsid w:val="006462FA"/>
    <w:rsid w:val="00660744"/>
    <w:rsid w:val="00660EBB"/>
    <w:rsid w:val="00661021"/>
    <w:rsid w:val="00663CC5"/>
    <w:rsid w:val="00666A14"/>
    <w:rsid w:val="00670660"/>
    <w:rsid w:val="00684D69"/>
    <w:rsid w:val="00684E55"/>
    <w:rsid w:val="00686AF3"/>
    <w:rsid w:val="006928F3"/>
    <w:rsid w:val="00693B0E"/>
    <w:rsid w:val="006952F5"/>
    <w:rsid w:val="006A350C"/>
    <w:rsid w:val="006A5596"/>
    <w:rsid w:val="006A73FD"/>
    <w:rsid w:val="006B4620"/>
    <w:rsid w:val="006B4ED2"/>
    <w:rsid w:val="006B6E3B"/>
    <w:rsid w:val="006C1B42"/>
    <w:rsid w:val="006C285C"/>
    <w:rsid w:val="006C56C9"/>
    <w:rsid w:val="006C67D7"/>
    <w:rsid w:val="006D144F"/>
    <w:rsid w:val="006D567B"/>
    <w:rsid w:val="006D72C7"/>
    <w:rsid w:val="006E0B76"/>
    <w:rsid w:val="006E1B7C"/>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5C94"/>
    <w:rsid w:val="00726A6C"/>
    <w:rsid w:val="00726B23"/>
    <w:rsid w:val="00726DB7"/>
    <w:rsid w:val="00727E29"/>
    <w:rsid w:val="0073129B"/>
    <w:rsid w:val="00733083"/>
    <w:rsid w:val="007342E5"/>
    <w:rsid w:val="00742B21"/>
    <w:rsid w:val="00744517"/>
    <w:rsid w:val="00750137"/>
    <w:rsid w:val="0075115C"/>
    <w:rsid w:val="007525B7"/>
    <w:rsid w:val="00752BB4"/>
    <w:rsid w:val="00755157"/>
    <w:rsid w:val="0075605F"/>
    <w:rsid w:val="00766147"/>
    <w:rsid w:val="00766DD4"/>
    <w:rsid w:val="00767246"/>
    <w:rsid w:val="00770518"/>
    <w:rsid w:val="00771F84"/>
    <w:rsid w:val="007724D2"/>
    <w:rsid w:val="00772E30"/>
    <w:rsid w:val="007769FC"/>
    <w:rsid w:val="00780470"/>
    <w:rsid w:val="00790A94"/>
    <w:rsid w:val="007911B2"/>
    <w:rsid w:val="007951BA"/>
    <w:rsid w:val="007972F1"/>
    <w:rsid w:val="00797ACE"/>
    <w:rsid w:val="007A08F7"/>
    <w:rsid w:val="007A1E5B"/>
    <w:rsid w:val="007A36C9"/>
    <w:rsid w:val="007A5188"/>
    <w:rsid w:val="007A6512"/>
    <w:rsid w:val="007A67FD"/>
    <w:rsid w:val="007B3D71"/>
    <w:rsid w:val="007B5213"/>
    <w:rsid w:val="007B7DDF"/>
    <w:rsid w:val="007C292F"/>
    <w:rsid w:val="007D07A2"/>
    <w:rsid w:val="007D16DC"/>
    <w:rsid w:val="007D4C26"/>
    <w:rsid w:val="007D5CBB"/>
    <w:rsid w:val="007D6572"/>
    <w:rsid w:val="007E0563"/>
    <w:rsid w:val="007E6590"/>
    <w:rsid w:val="007E78FD"/>
    <w:rsid w:val="007F33A5"/>
    <w:rsid w:val="007F6A96"/>
    <w:rsid w:val="008016DA"/>
    <w:rsid w:val="00803D1B"/>
    <w:rsid w:val="00804854"/>
    <w:rsid w:val="00805D01"/>
    <w:rsid w:val="00814ACE"/>
    <w:rsid w:val="00816182"/>
    <w:rsid w:val="00822B05"/>
    <w:rsid w:val="00823971"/>
    <w:rsid w:val="00826534"/>
    <w:rsid w:val="00826C28"/>
    <w:rsid w:val="00830D14"/>
    <w:rsid w:val="008331F8"/>
    <w:rsid w:val="00833E5B"/>
    <w:rsid w:val="00842D0A"/>
    <w:rsid w:val="0084602F"/>
    <w:rsid w:val="00847755"/>
    <w:rsid w:val="008508EA"/>
    <w:rsid w:val="00851FB3"/>
    <w:rsid w:val="0085267C"/>
    <w:rsid w:val="008567AE"/>
    <w:rsid w:val="008602E0"/>
    <w:rsid w:val="008625DD"/>
    <w:rsid w:val="008631FE"/>
    <w:rsid w:val="0086397B"/>
    <w:rsid w:val="00865A18"/>
    <w:rsid w:val="00877B50"/>
    <w:rsid w:val="00880C4E"/>
    <w:rsid w:val="00881FBD"/>
    <w:rsid w:val="00884568"/>
    <w:rsid w:val="00886D39"/>
    <w:rsid w:val="008936E5"/>
    <w:rsid w:val="008946EA"/>
    <w:rsid w:val="008A0C4A"/>
    <w:rsid w:val="008A3781"/>
    <w:rsid w:val="008A4F8A"/>
    <w:rsid w:val="008A6265"/>
    <w:rsid w:val="008B4958"/>
    <w:rsid w:val="008C4D93"/>
    <w:rsid w:val="008C5DE5"/>
    <w:rsid w:val="008D0EA5"/>
    <w:rsid w:val="008D1879"/>
    <w:rsid w:val="008D2B4F"/>
    <w:rsid w:val="008D43B6"/>
    <w:rsid w:val="008E0C18"/>
    <w:rsid w:val="008E1387"/>
    <w:rsid w:val="008E6766"/>
    <w:rsid w:val="008F2DB6"/>
    <w:rsid w:val="008F6AF6"/>
    <w:rsid w:val="008F78BF"/>
    <w:rsid w:val="00900FFC"/>
    <w:rsid w:val="0090152F"/>
    <w:rsid w:val="00905AE6"/>
    <w:rsid w:val="009102B1"/>
    <w:rsid w:val="009112D5"/>
    <w:rsid w:val="009117AF"/>
    <w:rsid w:val="00913A8F"/>
    <w:rsid w:val="00913DA9"/>
    <w:rsid w:val="00915BD0"/>
    <w:rsid w:val="009165B6"/>
    <w:rsid w:val="0091764F"/>
    <w:rsid w:val="00921EF2"/>
    <w:rsid w:val="00922D1D"/>
    <w:rsid w:val="00923A54"/>
    <w:rsid w:val="0092577B"/>
    <w:rsid w:val="00926831"/>
    <w:rsid w:val="00931126"/>
    <w:rsid w:val="009336D5"/>
    <w:rsid w:val="009358E2"/>
    <w:rsid w:val="00937163"/>
    <w:rsid w:val="00942FF5"/>
    <w:rsid w:val="00943B39"/>
    <w:rsid w:val="00943F58"/>
    <w:rsid w:val="0094443B"/>
    <w:rsid w:val="0094469F"/>
    <w:rsid w:val="0094784E"/>
    <w:rsid w:val="009478B6"/>
    <w:rsid w:val="0094793B"/>
    <w:rsid w:val="009522E0"/>
    <w:rsid w:val="00953D09"/>
    <w:rsid w:val="00956336"/>
    <w:rsid w:val="00956DBA"/>
    <w:rsid w:val="00956DCC"/>
    <w:rsid w:val="0096197F"/>
    <w:rsid w:val="00964882"/>
    <w:rsid w:val="00964BFB"/>
    <w:rsid w:val="009678EF"/>
    <w:rsid w:val="00972737"/>
    <w:rsid w:val="00972764"/>
    <w:rsid w:val="009727B4"/>
    <w:rsid w:val="00972D10"/>
    <w:rsid w:val="009763A1"/>
    <w:rsid w:val="00976894"/>
    <w:rsid w:val="0098095B"/>
    <w:rsid w:val="00981293"/>
    <w:rsid w:val="009816BB"/>
    <w:rsid w:val="00984168"/>
    <w:rsid w:val="009841D2"/>
    <w:rsid w:val="0098473F"/>
    <w:rsid w:val="00984E29"/>
    <w:rsid w:val="0098548A"/>
    <w:rsid w:val="009857A5"/>
    <w:rsid w:val="00987946"/>
    <w:rsid w:val="009914DB"/>
    <w:rsid w:val="00993DD3"/>
    <w:rsid w:val="0099765D"/>
    <w:rsid w:val="009A21F7"/>
    <w:rsid w:val="009A6828"/>
    <w:rsid w:val="009A682E"/>
    <w:rsid w:val="009B115E"/>
    <w:rsid w:val="009B46E3"/>
    <w:rsid w:val="009B54E6"/>
    <w:rsid w:val="009C0579"/>
    <w:rsid w:val="009C390B"/>
    <w:rsid w:val="009C42F0"/>
    <w:rsid w:val="009C5D2B"/>
    <w:rsid w:val="009D0A6C"/>
    <w:rsid w:val="009D0E76"/>
    <w:rsid w:val="009D38D1"/>
    <w:rsid w:val="009E280D"/>
    <w:rsid w:val="009E31DA"/>
    <w:rsid w:val="009E77CE"/>
    <w:rsid w:val="009F1AC6"/>
    <w:rsid w:val="009F3D52"/>
    <w:rsid w:val="009F46DE"/>
    <w:rsid w:val="009F7053"/>
    <w:rsid w:val="00A00218"/>
    <w:rsid w:val="00A01041"/>
    <w:rsid w:val="00A013E6"/>
    <w:rsid w:val="00A05978"/>
    <w:rsid w:val="00A059CF"/>
    <w:rsid w:val="00A0759E"/>
    <w:rsid w:val="00A1079F"/>
    <w:rsid w:val="00A14161"/>
    <w:rsid w:val="00A161A9"/>
    <w:rsid w:val="00A20C87"/>
    <w:rsid w:val="00A214E6"/>
    <w:rsid w:val="00A21F26"/>
    <w:rsid w:val="00A236AA"/>
    <w:rsid w:val="00A239C4"/>
    <w:rsid w:val="00A24AE5"/>
    <w:rsid w:val="00A27544"/>
    <w:rsid w:val="00A27AD2"/>
    <w:rsid w:val="00A31FBE"/>
    <w:rsid w:val="00A40975"/>
    <w:rsid w:val="00A443E0"/>
    <w:rsid w:val="00A51D94"/>
    <w:rsid w:val="00A549E2"/>
    <w:rsid w:val="00A57A63"/>
    <w:rsid w:val="00A62D74"/>
    <w:rsid w:val="00A64CFB"/>
    <w:rsid w:val="00A660F9"/>
    <w:rsid w:val="00A7108D"/>
    <w:rsid w:val="00A71467"/>
    <w:rsid w:val="00A71821"/>
    <w:rsid w:val="00A74B5E"/>
    <w:rsid w:val="00A75A0E"/>
    <w:rsid w:val="00A75AAB"/>
    <w:rsid w:val="00A77C2A"/>
    <w:rsid w:val="00A8150A"/>
    <w:rsid w:val="00A8366F"/>
    <w:rsid w:val="00A83DE4"/>
    <w:rsid w:val="00A8455C"/>
    <w:rsid w:val="00A84C2F"/>
    <w:rsid w:val="00A86BC1"/>
    <w:rsid w:val="00A909F4"/>
    <w:rsid w:val="00A90FFC"/>
    <w:rsid w:val="00A93CEE"/>
    <w:rsid w:val="00A95DBF"/>
    <w:rsid w:val="00A97ECB"/>
    <w:rsid w:val="00AA77E6"/>
    <w:rsid w:val="00AB134A"/>
    <w:rsid w:val="00AB22FD"/>
    <w:rsid w:val="00AB249C"/>
    <w:rsid w:val="00AB2E17"/>
    <w:rsid w:val="00AB3141"/>
    <w:rsid w:val="00AB5EF7"/>
    <w:rsid w:val="00AB609D"/>
    <w:rsid w:val="00AB66B8"/>
    <w:rsid w:val="00AB6EDE"/>
    <w:rsid w:val="00AB74F6"/>
    <w:rsid w:val="00AC12CA"/>
    <w:rsid w:val="00AC2268"/>
    <w:rsid w:val="00AC3E69"/>
    <w:rsid w:val="00AC6253"/>
    <w:rsid w:val="00AD0E44"/>
    <w:rsid w:val="00AD75D8"/>
    <w:rsid w:val="00AD7CAC"/>
    <w:rsid w:val="00AD7DE4"/>
    <w:rsid w:val="00AE3D01"/>
    <w:rsid w:val="00AE4FC4"/>
    <w:rsid w:val="00AE5260"/>
    <w:rsid w:val="00AE5CF7"/>
    <w:rsid w:val="00AE67B6"/>
    <w:rsid w:val="00AF08A4"/>
    <w:rsid w:val="00AF0D29"/>
    <w:rsid w:val="00AF3442"/>
    <w:rsid w:val="00AF3762"/>
    <w:rsid w:val="00AF49A0"/>
    <w:rsid w:val="00AF5D13"/>
    <w:rsid w:val="00AF7CFA"/>
    <w:rsid w:val="00B031A6"/>
    <w:rsid w:val="00B05EB7"/>
    <w:rsid w:val="00B0641E"/>
    <w:rsid w:val="00B14A65"/>
    <w:rsid w:val="00B17226"/>
    <w:rsid w:val="00B1739F"/>
    <w:rsid w:val="00B2037B"/>
    <w:rsid w:val="00B20435"/>
    <w:rsid w:val="00B216AE"/>
    <w:rsid w:val="00B2193F"/>
    <w:rsid w:val="00B22D70"/>
    <w:rsid w:val="00B34169"/>
    <w:rsid w:val="00B40AC5"/>
    <w:rsid w:val="00B40DB4"/>
    <w:rsid w:val="00B43529"/>
    <w:rsid w:val="00B45828"/>
    <w:rsid w:val="00B51807"/>
    <w:rsid w:val="00B51D11"/>
    <w:rsid w:val="00B52304"/>
    <w:rsid w:val="00B53724"/>
    <w:rsid w:val="00B568D1"/>
    <w:rsid w:val="00B56F9E"/>
    <w:rsid w:val="00B6040F"/>
    <w:rsid w:val="00B60D18"/>
    <w:rsid w:val="00B6264C"/>
    <w:rsid w:val="00B70AB4"/>
    <w:rsid w:val="00B756FD"/>
    <w:rsid w:val="00B82CF7"/>
    <w:rsid w:val="00B82E6C"/>
    <w:rsid w:val="00B83E5B"/>
    <w:rsid w:val="00B840FF"/>
    <w:rsid w:val="00B84A8B"/>
    <w:rsid w:val="00B850F5"/>
    <w:rsid w:val="00B8792A"/>
    <w:rsid w:val="00B87E24"/>
    <w:rsid w:val="00B91C97"/>
    <w:rsid w:val="00B923D8"/>
    <w:rsid w:val="00B924CB"/>
    <w:rsid w:val="00BA1742"/>
    <w:rsid w:val="00BA4A15"/>
    <w:rsid w:val="00BA6A1E"/>
    <w:rsid w:val="00BA779B"/>
    <w:rsid w:val="00BB14E3"/>
    <w:rsid w:val="00BB6955"/>
    <w:rsid w:val="00BC31D7"/>
    <w:rsid w:val="00BC7BDB"/>
    <w:rsid w:val="00BD0888"/>
    <w:rsid w:val="00BD0E92"/>
    <w:rsid w:val="00BD16CC"/>
    <w:rsid w:val="00BD2382"/>
    <w:rsid w:val="00BD38A7"/>
    <w:rsid w:val="00BD4CB1"/>
    <w:rsid w:val="00BD4D58"/>
    <w:rsid w:val="00BD5685"/>
    <w:rsid w:val="00BD58EC"/>
    <w:rsid w:val="00BD6AE4"/>
    <w:rsid w:val="00BD6C5E"/>
    <w:rsid w:val="00BD7122"/>
    <w:rsid w:val="00BE0628"/>
    <w:rsid w:val="00BE11E1"/>
    <w:rsid w:val="00BE1F7A"/>
    <w:rsid w:val="00BE40A3"/>
    <w:rsid w:val="00BE52C6"/>
    <w:rsid w:val="00BF1EA6"/>
    <w:rsid w:val="00BF1F32"/>
    <w:rsid w:val="00BF4EBD"/>
    <w:rsid w:val="00BF7CA8"/>
    <w:rsid w:val="00C000E6"/>
    <w:rsid w:val="00C04D6B"/>
    <w:rsid w:val="00C10A53"/>
    <w:rsid w:val="00C11B1A"/>
    <w:rsid w:val="00C136A3"/>
    <w:rsid w:val="00C15196"/>
    <w:rsid w:val="00C1558A"/>
    <w:rsid w:val="00C16E65"/>
    <w:rsid w:val="00C2451E"/>
    <w:rsid w:val="00C27890"/>
    <w:rsid w:val="00C33549"/>
    <w:rsid w:val="00C338AF"/>
    <w:rsid w:val="00C33ADF"/>
    <w:rsid w:val="00C409F2"/>
    <w:rsid w:val="00C40EFF"/>
    <w:rsid w:val="00C426BD"/>
    <w:rsid w:val="00C473A5"/>
    <w:rsid w:val="00C50F27"/>
    <w:rsid w:val="00C53DCB"/>
    <w:rsid w:val="00C55FDC"/>
    <w:rsid w:val="00C561A1"/>
    <w:rsid w:val="00C57185"/>
    <w:rsid w:val="00C60374"/>
    <w:rsid w:val="00C65F10"/>
    <w:rsid w:val="00C66CD5"/>
    <w:rsid w:val="00C74CE6"/>
    <w:rsid w:val="00C750F1"/>
    <w:rsid w:val="00C75CB4"/>
    <w:rsid w:val="00C75D0D"/>
    <w:rsid w:val="00C77D07"/>
    <w:rsid w:val="00C8014F"/>
    <w:rsid w:val="00C8459E"/>
    <w:rsid w:val="00C87499"/>
    <w:rsid w:val="00C87D83"/>
    <w:rsid w:val="00C913DA"/>
    <w:rsid w:val="00C9312C"/>
    <w:rsid w:val="00C97B27"/>
    <w:rsid w:val="00CA039A"/>
    <w:rsid w:val="00CA0A07"/>
    <w:rsid w:val="00CA54D2"/>
    <w:rsid w:val="00CA6029"/>
    <w:rsid w:val="00CB2000"/>
    <w:rsid w:val="00CB48A6"/>
    <w:rsid w:val="00CB621C"/>
    <w:rsid w:val="00CB684E"/>
    <w:rsid w:val="00CC02F2"/>
    <w:rsid w:val="00CC69FA"/>
    <w:rsid w:val="00CC6B34"/>
    <w:rsid w:val="00CC7C07"/>
    <w:rsid w:val="00CD09B4"/>
    <w:rsid w:val="00CD0E2D"/>
    <w:rsid w:val="00CD6EE8"/>
    <w:rsid w:val="00CD737F"/>
    <w:rsid w:val="00CD7773"/>
    <w:rsid w:val="00CE691B"/>
    <w:rsid w:val="00CE78B9"/>
    <w:rsid w:val="00CF0FFC"/>
    <w:rsid w:val="00CF1A27"/>
    <w:rsid w:val="00CF48A1"/>
    <w:rsid w:val="00CF5CD9"/>
    <w:rsid w:val="00CF67F1"/>
    <w:rsid w:val="00CF73F2"/>
    <w:rsid w:val="00D01E73"/>
    <w:rsid w:val="00D02EC1"/>
    <w:rsid w:val="00D0314D"/>
    <w:rsid w:val="00D05D5C"/>
    <w:rsid w:val="00D05F0E"/>
    <w:rsid w:val="00D1028B"/>
    <w:rsid w:val="00D13DA8"/>
    <w:rsid w:val="00D14C32"/>
    <w:rsid w:val="00D17F26"/>
    <w:rsid w:val="00D2120A"/>
    <w:rsid w:val="00D2665C"/>
    <w:rsid w:val="00D31A22"/>
    <w:rsid w:val="00D32CD6"/>
    <w:rsid w:val="00D355AF"/>
    <w:rsid w:val="00D4185E"/>
    <w:rsid w:val="00D424F4"/>
    <w:rsid w:val="00D53670"/>
    <w:rsid w:val="00D57F85"/>
    <w:rsid w:val="00D61E00"/>
    <w:rsid w:val="00D63B31"/>
    <w:rsid w:val="00D66F5E"/>
    <w:rsid w:val="00D70B9C"/>
    <w:rsid w:val="00D71664"/>
    <w:rsid w:val="00D71AF2"/>
    <w:rsid w:val="00D73671"/>
    <w:rsid w:val="00D74914"/>
    <w:rsid w:val="00D763A3"/>
    <w:rsid w:val="00D7651E"/>
    <w:rsid w:val="00D765FC"/>
    <w:rsid w:val="00D77DDB"/>
    <w:rsid w:val="00D80CDC"/>
    <w:rsid w:val="00D8264B"/>
    <w:rsid w:val="00D879E6"/>
    <w:rsid w:val="00D9028D"/>
    <w:rsid w:val="00D90E2B"/>
    <w:rsid w:val="00D91F21"/>
    <w:rsid w:val="00D935CD"/>
    <w:rsid w:val="00D94273"/>
    <w:rsid w:val="00D944A0"/>
    <w:rsid w:val="00D946E9"/>
    <w:rsid w:val="00D9480A"/>
    <w:rsid w:val="00D969B9"/>
    <w:rsid w:val="00DA1D6D"/>
    <w:rsid w:val="00DA47F3"/>
    <w:rsid w:val="00DA7EB6"/>
    <w:rsid w:val="00DB2502"/>
    <w:rsid w:val="00DB45CC"/>
    <w:rsid w:val="00DB7E05"/>
    <w:rsid w:val="00DB7E41"/>
    <w:rsid w:val="00DC1BF6"/>
    <w:rsid w:val="00DC3A4D"/>
    <w:rsid w:val="00DC4FA6"/>
    <w:rsid w:val="00DC500F"/>
    <w:rsid w:val="00DC76AE"/>
    <w:rsid w:val="00DD230C"/>
    <w:rsid w:val="00DD2358"/>
    <w:rsid w:val="00DE0C34"/>
    <w:rsid w:val="00DE2824"/>
    <w:rsid w:val="00DE2DF3"/>
    <w:rsid w:val="00DE3B31"/>
    <w:rsid w:val="00DE55B4"/>
    <w:rsid w:val="00DE7014"/>
    <w:rsid w:val="00DE74C8"/>
    <w:rsid w:val="00E00B48"/>
    <w:rsid w:val="00E02DBA"/>
    <w:rsid w:val="00E030EE"/>
    <w:rsid w:val="00E0723B"/>
    <w:rsid w:val="00E108C3"/>
    <w:rsid w:val="00E11F03"/>
    <w:rsid w:val="00E120B9"/>
    <w:rsid w:val="00E12705"/>
    <w:rsid w:val="00E12A19"/>
    <w:rsid w:val="00E13758"/>
    <w:rsid w:val="00E148F3"/>
    <w:rsid w:val="00E151DA"/>
    <w:rsid w:val="00E15382"/>
    <w:rsid w:val="00E20944"/>
    <w:rsid w:val="00E21BC2"/>
    <w:rsid w:val="00E224DE"/>
    <w:rsid w:val="00E238A2"/>
    <w:rsid w:val="00E3243B"/>
    <w:rsid w:val="00E335D8"/>
    <w:rsid w:val="00E33707"/>
    <w:rsid w:val="00E34005"/>
    <w:rsid w:val="00E413AB"/>
    <w:rsid w:val="00E43274"/>
    <w:rsid w:val="00E4665E"/>
    <w:rsid w:val="00E53F38"/>
    <w:rsid w:val="00E64E71"/>
    <w:rsid w:val="00E73E35"/>
    <w:rsid w:val="00E740D3"/>
    <w:rsid w:val="00E807BA"/>
    <w:rsid w:val="00E80F7E"/>
    <w:rsid w:val="00E8164C"/>
    <w:rsid w:val="00E82B5F"/>
    <w:rsid w:val="00E854D1"/>
    <w:rsid w:val="00E86C37"/>
    <w:rsid w:val="00E90D94"/>
    <w:rsid w:val="00E91219"/>
    <w:rsid w:val="00E95194"/>
    <w:rsid w:val="00E96F65"/>
    <w:rsid w:val="00E97C94"/>
    <w:rsid w:val="00EA1FDA"/>
    <w:rsid w:val="00EA5BBB"/>
    <w:rsid w:val="00EB10A7"/>
    <w:rsid w:val="00EB2328"/>
    <w:rsid w:val="00EB48A2"/>
    <w:rsid w:val="00EB6DE7"/>
    <w:rsid w:val="00EB71F5"/>
    <w:rsid w:val="00EC6890"/>
    <w:rsid w:val="00EC72A4"/>
    <w:rsid w:val="00ED694A"/>
    <w:rsid w:val="00ED76D9"/>
    <w:rsid w:val="00EE4722"/>
    <w:rsid w:val="00EF4BA3"/>
    <w:rsid w:val="00F02295"/>
    <w:rsid w:val="00F046BE"/>
    <w:rsid w:val="00F060A4"/>
    <w:rsid w:val="00F06124"/>
    <w:rsid w:val="00F07523"/>
    <w:rsid w:val="00F07A75"/>
    <w:rsid w:val="00F10710"/>
    <w:rsid w:val="00F127F3"/>
    <w:rsid w:val="00F1326E"/>
    <w:rsid w:val="00F155B4"/>
    <w:rsid w:val="00F15D39"/>
    <w:rsid w:val="00F16B10"/>
    <w:rsid w:val="00F22598"/>
    <w:rsid w:val="00F231AB"/>
    <w:rsid w:val="00F24BB1"/>
    <w:rsid w:val="00F27C51"/>
    <w:rsid w:val="00F304EE"/>
    <w:rsid w:val="00F31887"/>
    <w:rsid w:val="00F341AE"/>
    <w:rsid w:val="00F35671"/>
    <w:rsid w:val="00F36FAB"/>
    <w:rsid w:val="00F400C4"/>
    <w:rsid w:val="00F405D8"/>
    <w:rsid w:val="00F41E90"/>
    <w:rsid w:val="00F456C4"/>
    <w:rsid w:val="00F4710F"/>
    <w:rsid w:val="00F53A81"/>
    <w:rsid w:val="00F57D8D"/>
    <w:rsid w:val="00F60E88"/>
    <w:rsid w:val="00F725CC"/>
    <w:rsid w:val="00F73B29"/>
    <w:rsid w:val="00F757F6"/>
    <w:rsid w:val="00F823B7"/>
    <w:rsid w:val="00F82B69"/>
    <w:rsid w:val="00F86321"/>
    <w:rsid w:val="00F91188"/>
    <w:rsid w:val="00F91819"/>
    <w:rsid w:val="00F9546C"/>
    <w:rsid w:val="00F96CF9"/>
    <w:rsid w:val="00F974A1"/>
    <w:rsid w:val="00F97B72"/>
    <w:rsid w:val="00FA0C6D"/>
    <w:rsid w:val="00FA0CA0"/>
    <w:rsid w:val="00FA10A8"/>
    <w:rsid w:val="00FA1427"/>
    <w:rsid w:val="00FA45BA"/>
    <w:rsid w:val="00FA5296"/>
    <w:rsid w:val="00FA6C76"/>
    <w:rsid w:val="00FB1F93"/>
    <w:rsid w:val="00FB48DF"/>
    <w:rsid w:val="00FB5972"/>
    <w:rsid w:val="00FB632F"/>
    <w:rsid w:val="00FC3BAF"/>
    <w:rsid w:val="00FC5824"/>
    <w:rsid w:val="00FC5AFE"/>
    <w:rsid w:val="00FC5D22"/>
    <w:rsid w:val="00FD01BA"/>
    <w:rsid w:val="00FD0CA5"/>
    <w:rsid w:val="00FD4012"/>
    <w:rsid w:val="00FD5A0C"/>
    <w:rsid w:val="00FE20F3"/>
    <w:rsid w:val="00FE4D45"/>
    <w:rsid w:val="00FE5279"/>
    <w:rsid w:val="00FE5412"/>
    <w:rsid w:val="00FE6874"/>
    <w:rsid w:val="00FE71EC"/>
    <w:rsid w:val="00FF0084"/>
    <w:rsid w:val="00FF05FE"/>
    <w:rsid w:val="00FF094D"/>
    <w:rsid w:val="00FF4F25"/>
    <w:rsid w:val="00FF5A7C"/>
    <w:rsid w:val="00FF6B57"/>
    <w:rsid w:val="017C6D0A"/>
    <w:rsid w:val="0201699A"/>
    <w:rsid w:val="02184CEB"/>
    <w:rsid w:val="02DA018C"/>
    <w:rsid w:val="030A2655"/>
    <w:rsid w:val="03936CB9"/>
    <w:rsid w:val="03F21C69"/>
    <w:rsid w:val="04163446"/>
    <w:rsid w:val="04A9786D"/>
    <w:rsid w:val="055017E0"/>
    <w:rsid w:val="05594323"/>
    <w:rsid w:val="05694D88"/>
    <w:rsid w:val="05A97997"/>
    <w:rsid w:val="05B42F17"/>
    <w:rsid w:val="05F94DCD"/>
    <w:rsid w:val="067D2943"/>
    <w:rsid w:val="06EC5E5B"/>
    <w:rsid w:val="074E2857"/>
    <w:rsid w:val="079117F4"/>
    <w:rsid w:val="07C136C9"/>
    <w:rsid w:val="08597DA5"/>
    <w:rsid w:val="08941569"/>
    <w:rsid w:val="08E26665"/>
    <w:rsid w:val="08FA71E7"/>
    <w:rsid w:val="09FA032F"/>
    <w:rsid w:val="0A494479"/>
    <w:rsid w:val="0A586E1A"/>
    <w:rsid w:val="0AA736ED"/>
    <w:rsid w:val="0B2E72C7"/>
    <w:rsid w:val="0B6E3B68"/>
    <w:rsid w:val="0B73425E"/>
    <w:rsid w:val="0B845139"/>
    <w:rsid w:val="0C764BFE"/>
    <w:rsid w:val="0C7E427E"/>
    <w:rsid w:val="0CA93CBB"/>
    <w:rsid w:val="0CDC15B2"/>
    <w:rsid w:val="0E3E5A73"/>
    <w:rsid w:val="0E49306F"/>
    <w:rsid w:val="0EAA6EF2"/>
    <w:rsid w:val="0EDD34DE"/>
    <w:rsid w:val="0F276507"/>
    <w:rsid w:val="0FBA737B"/>
    <w:rsid w:val="101D790A"/>
    <w:rsid w:val="10C4349A"/>
    <w:rsid w:val="10FB2EC8"/>
    <w:rsid w:val="115A7068"/>
    <w:rsid w:val="13000E7B"/>
    <w:rsid w:val="13070B2A"/>
    <w:rsid w:val="143300D2"/>
    <w:rsid w:val="14496F20"/>
    <w:rsid w:val="14AA3E63"/>
    <w:rsid w:val="15981F0D"/>
    <w:rsid w:val="15986FFE"/>
    <w:rsid w:val="162C6AF9"/>
    <w:rsid w:val="166E2C6E"/>
    <w:rsid w:val="169923E1"/>
    <w:rsid w:val="16AF0BFC"/>
    <w:rsid w:val="1706633F"/>
    <w:rsid w:val="17C0399D"/>
    <w:rsid w:val="17C4455C"/>
    <w:rsid w:val="18697B91"/>
    <w:rsid w:val="18E00EE1"/>
    <w:rsid w:val="193D71F3"/>
    <w:rsid w:val="1A5A135F"/>
    <w:rsid w:val="1A9324DF"/>
    <w:rsid w:val="1B333113"/>
    <w:rsid w:val="1B3E145F"/>
    <w:rsid w:val="1BDE0896"/>
    <w:rsid w:val="1C0D61C7"/>
    <w:rsid w:val="1C992AB7"/>
    <w:rsid w:val="1CAC629E"/>
    <w:rsid w:val="1D1A3B4F"/>
    <w:rsid w:val="1D8B3F54"/>
    <w:rsid w:val="1DA44932"/>
    <w:rsid w:val="1E041E2B"/>
    <w:rsid w:val="1E4744F3"/>
    <w:rsid w:val="1E992F94"/>
    <w:rsid w:val="1F2B2044"/>
    <w:rsid w:val="1F59624F"/>
    <w:rsid w:val="1F5B64F7"/>
    <w:rsid w:val="1F7F1607"/>
    <w:rsid w:val="1FA140B4"/>
    <w:rsid w:val="20B169CB"/>
    <w:rsid w:val="20D364EF"/>
    <w:rsid w:val="20F97CD4"/>
    <w:rsid w:val="21B34182"/>
    <w:rsid w:val="22AD72BA"/>
    <w:rsid w:val="23084722"/>
    <w:rsid w:val="230909BA"/>
    <w:rsid w:val="238166D6"/>
    <w:rsid w:val="23A32468"/>
    <w:rsid w:val="243E7272"/>
    <w:rsid w:val="24CA19B7"/>
    <w:rsid w:val="24F9229C"/>
    <w:rsid w:val="25D6438C"/>
    <w:rsid w:val="25DE01F7"/>
    <w:rsid w:val="264B11A3"/>
    <w:rsid w:val="27443662"/>
    <w:rsid w:val="28A36429"/>
    <w:rsid w:val="2AE93303"/>
    <w:rsid w:val="2B057BED"/>
    <w:rsid w:val="2BF67536"/>
    <w:rsid w:val="2C4701CE"/>
    <w:rsid w:val="2C7652E6"/>
    <w:rsid w:val="2C960225"/>
    <w:rsid w:val="2D6359D6"/>
    <w:rsid w:val="2DCC49F2"/>
    <w:rsid w:val="2DFA3038"/>
    <w:rsid w:val="2E8A79D2"/>
    <w:rsid w:val="2ED20D19"/>
    <w:rsid w:val="2EE43FBD"/>
    <w:rsid w:val="2F0E58D1"/>
    <w:rsid w:val="2F3743AE"/>
    <w:rsid w:val="2F4607D4"/>
    <w:rsid w:val="2F5F153D"/>
    <w:rsid w:val="2FA240C1"/>
    <w:rsid w:val="3095556F"/>
    <w:rsid w:val="30D00355"/>
    <w:rsid w:val="31027B70"/>
    <w:rsid w:val="31472444"/>
    <w:rsid w:val="318B7D2A"/>
    <w:rsid w:val="32335040"/>
    <w:rsid w:val="330111E7"/>
    <w:rsid w:val="33C1667B"/>
    <w:rsid w:val="3463318E"/>
    <w:rsid w:val="349B2E5E"/>
    <w:rsid w:val="34A0626C"/>
    <w:rsid w:val="34D029B5"/>
    <w:rsid w:val="350D4745"/>
    <w:rsid w:val="3513282D"/>
    <w:rsid w:val="355C49BE"/>
    <w:rsid w:val="35AF0E81"/>
    <w:rsid w:val="35FC5E78"/>
    <w:rsid w:val="36010FB1"/>
    <w:rsid w:val="36557F87"/>
    <w:rsid w:val="37D20E57"/>
    <w:rsid w:val="3836588A"/>
    <w:rsid w:val="38FF6D29"/>
    <w:rsid w:val="39764797"/>
    <w:rsid w:val="39861EF9"/>
    <w:rsid w:val="39D0586A"/>
    <w:rsid w:val="3A1E0383"/>
    <w:rsid w:val="3A40479E"/>
    <w:rsid w:val="3A804B9A"/>
    <w:rsid w:val="3B6E7CE9"/>
    <w:rsid w:val="3BBD6798"/>
    <w:rsid w:val="3D324146"/>
    <w:rsid w:val="3E5C7EC9"/>
    <w:rsid w:val="3EA51073"/>
    <w:rsid w:val="3EE651E8"/>
    <w:rsid w:val="3F163D1F"/>
    <w:rsid w:val="3F3F1D60"/>
    <w:rsid w:val="3F487C50"/>
    <w:rsid w:val="3F581FEC"/>
    <w:rsid w:val="3F732F1F"/>
    <w:rsid w:val="3FF62D0E"/>
    <w:rsid w:val="3FFD6C8D"/>
    <w:rsid w:val="404E7113"/>
    <w:rsid w:val="40914F84"/>
    <w:rsid w:val="40B14D56"/>
    <w:rsid w:val="41B65345"/>
    <w:rsid w:val="426052B1"/>
    <w:rsid w:val="43607C5E"/>
    <w:rsid w:val="438A1DB7"/>
    <w:rsid w:val="44026DB0"/>
    <w:rsid w:val="44317F05"/>
    <w:rsid w:val="44C63EC1"/>
    <w:rsid w:val="455407C7"/>
    <w:rsid w:val="45941704"/>
    <w:rsid w:val="45A32E70"/>
    <w:rsid w:val="46476EB4"/>
    <w:rsid w:val="465A166B"/>
    <w:rsid w:val="46722452"/>
    <w:rsid w:val="4710374A"/>
    <w:rsid w:val="47895715"/>
    <w:rsid w:val="4837077E"/>
    <w:rsid w:val="49262DB0"/>
    <w:rsid w:val="4A7A54C5"/>
    <w:rsid w:val="4AB97C24"/>
    <w:rsid w:val="4AC819BF"/>
    <w:rsid w:val="4AF511B4"/>
    <w:rsid w:val="4B1A7A4A"/>
    <w:rsid w:val="4B63240D"/>
    <w:rsid w:val="4BAE4149"/>
    <w:rsid w:val="4BFE3359"/>
    <w:rsid w:val="4C2757BD"/>
    <w:rsid w:val="4C414861"/>
    <w:rsid w:val="4CDD45F2"/>
    <w:rsid w:val="4E87050B"/>
    <w:rsid w:val="4EDF0CD1"/>
    <w:rsid w:val="4F435639"/>
    <w:rsid w:val="4F885816"/>
    <w:rsid w:val="4FCB27E4"/>
    <w:rsid w:val="5051541D"/>
    <w:rsid w:val="50926E23"/>
    <w:rsid w:val="509A5B6A"/>
    <w:rsid w:val="50C63749"/>
    <w:rsid w:val="50EE68AA"/>
    <w:rsid w:val="50FB0FC7"/>
    <w:rsid w:val="52045C59"/>
    <w:rsid w:val="52DE33CB"/>
    <w:rsid w:val="52E00474"/>
    <w:rsid w:val="53B47CAA"/>
    <w:rsid w:val="53BF62DB"/>
    <w:rsid w:val="542E331A"/>
    <w:rsid w:val="548E3F00"/>
    <w:rsid w:val="5490072E"/>
    <w:rsid w:val="54BA5C42"/>
    <w:rsid w:val="54E72917"/>
    <w:rsid w:val="555962BC"/>
    <w:rsid w:val="55CF47D0"/>
    <w:rsid w:val="56004989"/>
    <w:rsid w:val="56495D38"/>
    <w:rsid w:val="56DF15AE"/>
    <w:rsid w:val="57CC195D"/>
    <w:rsid w:val="58455595"/>
    <w:rsid w:val="58627B7D"/>
    <w:rsid w:val="5A3C39E2"/>
    <w:rsid w:val="5A625C12"/>
    <w:rsid w:val="5A8028EF"/>
    <w:rsid w:val="5B2E4AA8"/>
    <w:rsid w:val="5B8175B1"/>
    <w:rsid w:val="5CBA49A2"/>
    <w:rsid w:val="5CF30D95"/>
    <w:rsid w:val="5DD07337"/>
    <w:rsid w:val="5F117C07"/>
    <w:rsid w:val="5F261904"/>
    <w:rsid w:val="60A364F9"/>
    <w:rsid w:val="616B1851"/>
    <w:rsid w:val="617744BB"/>
    <w:rsid w:val="62A50354"/>
    <w:rsid w:val="62DA4E8E"/>
    <w:rsid w:val="639037F0"/>
    <w:rsid w:val="63F54A68"/>
    <w:rsid w:val="64BC7B4E"/>
    <w:rsid w:val="65075D34"/>
    <w:rsid w:val="651E61F8"/>
    <w:rsid w:val="655B398A"/>
    <w:rsid w:val="65C87DEC"/>
    <w:rsid w:val="664A79D0"/>
    <w:rsid w:val="67C10A7D"/>
    <w:rsid w:val="67CB3049"/>
    <w:rsid w:val="67E75078"/>
    <w:rsid w:val="685853F8"/>
    <w:rsid w:val="696C43B8"/>
    <w:rsid w:val="6B4E7556"/>
    <w:rsid w:val="6BD34BC2"/>
    <w:rsid w:val="6C5E2B8E"/>
    <w:rsid w:val="6DD8201C"/>
    <w:rsid w:val="6DF66946"/>
    <w:rsid w:val="6E557B10"/>
    <w:rsid w:val="6EB42E26"/>
    <w:rsid w:val="6ECC3397"/>
    <w:rsid w:val="6F1570A7"/>
    <w:rsid w:val="6F1A48B6"/>
    <w:rsid w:val="6F7D4059"/>
    <w:rsid w:val="6F982664"/>
    <w:rsid w:val="6FD131C7"/>
    <w:rsid w:val="70E231B1"/>
    <w:rsid w:val="71331BBF"/>
    <w:rsid w:val="7179647E"/>
    <w:rsid w:val="719D0999"/>
    <w:rsid w:val="71E03B95"/>
    <w:rsid w:val="7201445E"/>
    <w:rsid w:val="723273B7"/>
    <w:rsid w:val="727662A7"/>
    <w:rsid w:val="729E4247"/>
    <w:rsid w:val="72DA0709"/>
    <w:rsid w:val="72E339C7"/>
    <w:rsid w:val="72E43444"/>
    <w:rsid w:val="7371736D"/>
    <w:rsid w:val="73F949F9"/>
    <w:rsid w:val="740D4274"/>
    <w:rsid w:val="74A0585D"/>
    <w:rsid w:val="750B717B"/>
    <w:rsid w:val="751F42D8"/>
    <w:rsid w:val="75B20C5B"/>
    <w:rsid w:val="75C05BDA"/>
    <w:rsid w:val="75FC4D15"/>
    <w:rsid w:val="766D1A47"/>
    <w:rsid w:val="78174088"/>
    <w:rsid w:val="7A2D63A6"/>
    <w:rsid w:val="7A7430CC"/>
    <w:rsid w:val="7A851A9C"/>
    <w:rsid w:val="7B65510B"/>
    <w:rsid w:val="7B867C36"/>
    <w:rsid w:val="7B9E1677"/>
    <w:rsid w:val="7BF832AF"/>
    <w:rsid w:val="7E81400A"/>
    <w:rsid w:val="7EB22415"/>
    <w:rsid w:val="7F3D3A73"/>
    <w:rsid w:val="7FEE3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46"/>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47"/>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qFormat/>
    <w:uiPriority w:val="0"/>
    <w:pPr>
      <w:ind w:firstLine="420"/>
    </w:pPr>
  </w:style>
  <w:style w:type="paragraph" w:styleId="13">
    <w:name w:val="Document Map"/>
    <w:basedOn w:val="1"/>
    <w:link w:val="58"/>
    <w:qFormat/>
    <w:uiPriority w:val="0"/>
    <w:rPr>
      <w:rFonts w:ascii="宋体" w:cs="宋体"/>
      <w:sz w:val="18"/>
      <w:szCs w:val="18"/>
    </w:rPr>
  </w:style>
  <w:style w:type="paragraph" w:styleId="14">
    <w:name w:val="annotation text"/>
    <w:basedOn w:val="1"/>
    <w:link w:val="56"/>
    <w:qFormat/>
    <w:uiPriority w:val="0"/>
    <w:pPr>
      <w:jc w:val="left"/>
    </w:pPr>
    <w:rPr>
      <w:rFonts w:ascii="Times New Roman" w:hAnsi="Times New Roman"/>
      <w:szCs w:val="20"/>
    </w:rPr>
  </w:style>
  <w:style w:type="paragraph" w:styleId="15">
    <w:name w:val="Body Text 3"/>
    <w:basedOn w:val="1"/>
    <w:link w:val="60"/>
    <w:qFormat/>
    <w:uiPriority w:val="0"/>
    <w:rPr>
      <w:rFonts w:ascii="宋体"/>
      <w:sz w:val="24"/>
      <w:szCs w:val="20"/>
    </w:rPr>
  </w:style>
  <w:style w:type="paragraph" w:styleId="16">
    <w:name w:val="Body Text"/>
    <w:basedOn w:val="1"/>
    <w:link w:val="75"/>
    <w:unhideWhenUsed/>
    <w:qFormat/>
    <w:uiPriority w:val="0"/>
    <w:pPr>
      <w:spacing w:after="120"/>
    </w:pPr>
    <w:rPr>
      <w:rFonts w:ascii="Times New Roman" w:hAnsi="Times New Roman"/>
      <w:szCs w:val="20"/>
    </w:rPr>
  </w:style>
  <w:style w:type="paragraph" w:styleId="17">
    <w:name w:val="Body Text Indent"/>
    <w:basedOn w:val="1"/>
    <w:link w:val="77"/>
    <w:qFormat/>
    <w:uiPriority w:val="0"/>
    <w:pPr>
      <w:spacing w:after="120"/>
      <w:ind w:left="420" w:leftChars="200"/>
    </w:pPr>
    <w:rPr>
      <w:rFonts w:ascii="Times New Roman" w:hAnsi="Times New Roman"/>
      <w:szCs w:val="20"/>
    </w:rPr>
  </w:style>
  <w:style w:type="paragraph" w:styleId="18">
    <w:name w:val="toc 5"/>
    <w:basedOn w:val="1"/>
    <w:next w:val="1"/>
    <w:qFormat/>
    <w:uiPriority w:val="39"/>
    <w:pPr>
      <w:ind w:left="800" w:leftChars="800"/>
    </w:pPr>
  </w:style>
  <w:style w:type="paragraph" w:styleId="19">
    <w:name w:val="toc 3"/>
    <w:basedOn w:val="1"/>
    <w:next w:val="1"/>
    <w:qFormat/>
    <w:uiPriority w:val="39"/>
    <w:pPr>
      <w:ind w:left="400" w:leftChars="400"/>
    </w:pPr>
  </w:style>
  <w:style w:type="paragraph" w:styleId="20">
    <w:name w:val="Plain Text"/>
    <w:basedOn w:val="1"/>
    <w:qFormat/>
    <w:uiPriority w:val="0"/>
    <w:rPr>
      <w:rFonts w:ascii="宋体"/>
    </w:rPr>
  </w:style>
  <w:style w:type="paragraph" w:styleId="21">
    <w:name w:val="toc 8"/>
    <w:basedOn w:val="1"/>
    <w:next w:val="1"/>
    <w:qFormat/>
    <w:uiPriority w:val="39"/>
    <w:pPr>
      <w:ind w:left="1400" w:leftChars="1400"/>
    </w:pPr>
  </w:style>
  <w:style w:type="paragraph" w:styleId="22">
    <w:name w:val="Date"/>
    <w:basedOn w:val="1"/>
    <w:next w:val="1"/>
    <w:link w:val="64"/>
    <w:qFormat/>
    <w:uiPriority w:val="0"/>
    <w:pPr>
      <w:ind w:left="2500" w:leftChars="2500"/>
    </w:pPr>
    <w:rPr>
      <w:rFonts w:ascii="Times New Roman" w:hAnsi="Times New Roman"/>
      <w:szCs w:val="20"/>
    </w:rPr>
  </w:style>
  <w:style w:type="paragraph" w:styleId="23">
    <w:name w:val="Balloon Text"/>
    <w:basedOn w:val="1"/>
    <w:link w:val="63"/>
    <w:qFormat/>
    <w:uiPriority w:val="0"/>
    <w:rPr>
      <w:rFonts w:ascii="Times New Roman" w:hAnsi="Times New Roman"/>
      <w:sz w:val="18"/>
      <w:szCs w:val="20"/>
    </w:rPr>
  </w:style>
  <w:style w:type="paragraph" w:styleId="24">
    <w:name w:val="footer"/>
    <w:basedOn w:val="1"/>
    <w:link w:val="59"/>
    <w:qFormat/>
    <w:uiPriority w:val="0"/>
    <w:pPr>
      <w:tabs>
        <w:tab w:val="center" w:pos="4153"/>
        <w:tab w:val="right" w:pos="8306"/>
      </w:tabs>
      <w:snapToGrid w:val="0"/>
      <w:jc w:val="left"/>
    </w:pPr>
    <w:rPr>
      <w:sz w:val="18"/>
    </w:rPr>
  </w:style>
  <w:style w:type="paragraph" w:styleId="25">
    <w:name w:val="header"/>
    <w:basedOn w:val="1"/>
    <w:link w:val="62"/>
    <w:qFormat/>
    <w:uiPriority w:val="0"/>
    <w:pPr>
      <w:tabs>
        <w:tab w:val="center" w:pos="4153"/>
        <w:tab w:val="right" w:pos="8306"/>
      </w:tabs>
      <w:snapToGrid w:val="0"/>
    </w:pPr>
    <w:rPr>
      <w:rFonts w:ascii="Times New Roman" w:hAnsi="Times New Roman"/>
      <w:sz w:val="18"/>
      <w:szCs w:val="20"/>
    </w:rPr>
  </w:style>
  <w:style w:type="paragraph" w:styleId="26">
    <w:name w:val="toc 1"/>
    <w:basedOn w:val="1"/>
    <w:next w:val="1"/>
    <w:qFormat/>
    <w:uiPriority w:val="39"/>
  </w:style>
  <w:style w:type="paragraph" w:styleId="27">
    <w:name w:val="toc 4"/>
    <w:basedOn w:val="1"/>
    <w:next w:val="1"/>
    <w:qFormat/>
    <w:uiPriority w:val="39"/>
    <w:pPr>
      <w:ind w:left="600" w:leftChars="600"/>
    </w:pPr>
  </w:style>
  <w:style w:type="paragraph" w:styleId="28">
    <w:name w:val="toc 6"/>
    <w:basedOn w:val="1"/>
    <w:next w:val="1"/>
    <w:qFormat/>
    <w:uiPriority w:val="39"/>
    <w:pPr>
      <w:ind w:left="1000" w:leftChars="1000"/>
    </w:pPr>
  </w:style>
  <w:style w:type="paragraph" w:styleId="29">
    <w:name w:val="Body Text Indent 3"/>
    <w:basedOn w:val="1"/>
    <w:link w:val="61"/>
    <w:qFormat/>
    <w:uiPriority w:val="0"/>
    <w:pPr>
      <w:spacing w:after="120"/>
      <w:ind w:left="200" w:leftChars="200"/>
    </w:pPr>
    <w:rPr>
      <w:sz w:val="16"/>
      <w:szCs w:val="16"/>
    </w:rPr>
  </w:style>
  <w:style w:type="paragraph" w:styleId="30">
    <w:name w:val="toc 2"/>
    <w:basedOn w:val="1"/>
    <w:next w:val="1"/>
    <w:qFormat/>
    <w:uiPriority w:val="39"/>
    <w:pPr>
      <w:ind w:left="200" w:leftChars="200"/>
    </w:pPr>
  </w:style>
  <w:style w:type="paragraph" w:styleId="31">
    <w:name w:val="toc 9"/>
    <w:basedOn w:val="1"/>
    <w:next w:val="1"/>
    <w:qFormat/>
    <w:uiPriority w:val="39"/>
    <w:pPr>
      <w:ind w:left="1600" w:leftChars="1600"/>
    </w:pPr>
  </w:style>
  <w:style w:type="paragraph" w:styleId="32">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3">
    <w:name w:val="index 1"/>
    <w:basedOn w:val="1"/>
    <w:next w:val="1"/>
    <w:qFormat/>
    <w:uiPriority w:val="0"/>
    <w:pPr>
      <w:spacing w:line="220" w:lineRule="exact"/>
      <w:jc w:val="center"/>
    </w:pPr>
    <w:rPr>
      <w:rFonts w:ascii="仿宋_GB2312" w:hAnsi="Times New Roman" w:eastAsia="仿宋_GB2312"/>
      <w:szCs w:val="21"/>
    </w:rPr>
  </w:style>
  <w:style w:type="paragraph" w:styleId="34">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4"/>
    <w:next w:val="14"/>
    <w:link w:val="57"/>
    <w:qFormat/>
    <w:uiPriority w:val="0"/>
  </w:style>
  <w:style w:type="paragraph" w:styleId="36">
    <w:name w:val="Body Text First Indent"/>
    <w:basedOn w:val="1"/>
    <w:link w:val="76"/>
    <w:qFormat/>
    <w:uiPriority w:val="0"/>
    <w:pPr>
      <w:spacing w:line="312" w:lineRule="auto"/>
      <w:ind w:firstLine="420"/>
    </w:pPr>
    <w:rPr>
      <w:rFonts w:ascii="Times New Roman" w:hAnsi="Times New Roman"/>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rPr>
  </w:style>
  <w:style w:type="character" w:styleId="44">
    <w:name w:val="footnote reference"/>
    <w:qFormat/>
    <w:uiPriority w:val="0"/>
    <w:rPr>
      <w:vertAlign w:val="superscript"/>
    </w:rPr>
  </w:style>
  <w:style w:type="character" w:customStyle="1" w:styleId="45">
    <w:name w:val="标题 1 Char"/>
    <w:basedOn w:val="39"/>
    <w:link w:val="2"/>
    <w:qFormat/>
    <w:uiPriority w:val="0"/>
    <w:rPr>
      <w:rFonts w:eastAsia="宋体"/>
      <w:b/>
      <w:kern w:val="44"/>
      <w:sz w:val="44"/>
    </w:rPr>
  </w:style>
  <w:style w:type="character" w:customStyle="1" w:styleId="46">
    <w:name w:val="标题 2 Char"/>
    <w:basedOn w:val="39"/>
    <w:link w:val="3"/>
    <w:qFormat/>
    <w:uiPriority w:val="0"/>
    <w:rPr>
      <w:rFonts w:ascii="Arial" w:hAnsi="Arial" w:eastAsia="黑体"/>
      <w:b/>
      <w:kern w:val="2"/>
      <w:sz w:val="32"/>
    </w:rPr>
  </w:style>
  <w:style w:type="character" w:customStyle="1" w:styleId="47">
    <w:name w:val="标题 3 Char"/>
    <w:basedOn w:val="39"/>
    <w:link w:val="4"/>
    <w:qFormat/>
    <w:uiPriority w:val="0"/>
    <w:rPr>
      <w:rFonts w:ascii="黑体" w:hAnsi="Calibri" w:eastAsia="黑体"/>
      <w:kern w:val="2"/>
      <w:sz w:val="28"/>
    </w:rPr>
  </w:style>
  <w:style w:type="character" w:customStyle="1" w:styleId="48">
    <w:name w:val="标题 4 Char"/>
    <w:basedOn w:val="39"/>
    <w:link w:val="5"/>
    <w:qFormat/>
    <w:uiPriority w:val="0"/>
    <w:rPr>
      <w:rFonts w:ascii="Arial" w:hAnsi="Arial" w:eastAsia="黑体"/>
      <w:b/>
      <w:bCs/>
      <w:kern w:val="2"/>
      <w:sz w:val="28"/>
      <w:szCs w:val="28"/>
    </w:rPr>
  </w:style>
  <w:style w:type="character" w:customStyle="1" w:styleId="49">
    <w:name w:val="标题 6 Char"/>
    <w:basedOn w:val="39"/>
    <w:link w:val="7"/>
    <w:qFormat/>
    <w:uiPriority w:val="0"/>
    <w:rPr>
      <w:rFonts w:ascii="Arial" w:hAnsi="Arial" w:eastAsia="黑体"/>
      <w:b/>
      <w:bCs/>
      <w:sz w:val="24"/>
    </w:rPr>
  </w:style>
  <w:style w:type="character" w:customStyle="1" w:styleId="50">
    <w:name w:val="标题 7 Char"/>
    <w:basedOn w:val="39"/>
    <w:link w:val="8"/>
    <w:qFormat/>
    <w:uiPriority w:val="0"/>
    <w:rPr>
      <w:rFonts w:eastAsia="宋体"/>
      <w:b/>
      <w:bCs/>
      <w:sz w:val="24"/>
    </w:rPr>
  </w:style>
  <w:style w:type="character" w:customStyle="1" w:styleId="51">
    <w:name w:val="标题 8 Char"/>
    <w:basedOn w:val="39"/>
    <w:link w:val="9"/>
    <w:qFormat/>
    <w:uiPriority w:val="0"/>
    <w:rPr>
      <w:rFonts w:ascii="Arial" w:hAnsi="Arial" w:eastAsia="黑体"/>
      <w:sz w:val="24"/>
    </w:rPr>
  </w:style>
  <w:style w:type="character" w:customStyle="1" w:styleId="52">
    <w:name w:val="标题 9 Char"/>
    <w:basedOn w:val="39"/>
    <w:link w:val="10"/>
    <w:qFormat/>
    <w:uiPriority w:val="0"/>
    <w:rPr>
      <w:rFonts w:ascii="Arial" w:hAnsi="Arial" w:eastAsia="黑体"/>
      <w:sz w:val="21"/>
      <w:szCs w:val="21"/>
    </w:rPr>
  </w:style>
  <w:style w:type="character" w:customStyle="1" w:styleId="53">
    <w:name w:val="style_kwd"/>
    <w:basedOn w:val="39"/>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Char"/>
    <w:basedOn w:val="39"/>
    <w:link w:val="14"/>
    <w:qFormat/>
    <w:uiPriority w:val="0"/>
    <w:rPr>
      <w:rFonts w:eastAsia="宋体"/>
      <w:kern w:val="2"/>
      <w:sz w:val="21"/>
    </w:rPr>
  </w:style>
  <w:style w:type="character" w:customStyle="1" w:styleId="57">
    <w:name w:val="批注主题 Char"/>
    <w:link w:val="35"/>
    <w:qFormat/>
    <w:uiPriority w:val="0"/>
    <w:rPr>
      <w:rFonts w:eastAsia="宋体"/>
      <w:kern w:val="2"/>
      <w:sz w:val="21"/>
    </w:rPr>
  </w:style>
  <w:style w:type="character" w:customStyle="1" w:styleId="58">
    <w:name w:val="文档结构图 Char"/>
    <w:link w:val="13"/>
    <w:qFormat/>
    <w:uiPriority w:val="0"/>
    <w:rPr>
      <w:rFonts w:ascii="宋体" w:hAnsi="Calibri" w:eastAsia="宋体" w:cs="宋体"/>
      <w:kern w:val="2"/>
      <w:sz w:val="18"/>
      <w:szCs w:val="18"/>
    </w:rPr>
  </w:style>
  <w:style w:type="character" w:customStyle="1" w:styleId="59">
    <w:name w:val="页脚 Char"/>
    <w:link w:val="24"/>
    <w:qFormat/>
    <w:uiPriority w:val="0"/>
    <w:rPr>
      <w:rFonts w:ascii="Calibri" w:hAnsi="Calibri" w:eastAsia="宋体"/>
      <w:kern w:val="2"/>
      <w:sz w:val="18"/>
      <w:szCs w:val="22"/>
    </w:rPr>
  </w:style>
  <w:style w:type="character" w:customStyle="1" w:styleId="60">
    <w:name w:val="正文文本 3 Char"/>
    <w:basedOn w:val="39"/>
    <w:link w:val="15"/>
    <w:qFormat/>
    <w:uiPriority w:val="0"/>
    <w:rPr>
      <w:rFonts w:ascii="宋体" w:hAnsi="Calibri" w:eastAsia="宋体"/>
      <w:kern w:val="2"/>
      <w:sz w:val="24"/>
    </w:rPr>
  </w:style>
  <w:style w:type="character" w:customStyle="1" w:styleId="61">
    <w:name w:val="正文文本缩进 3 Char"/>
    <w:basedOn w:val="39"/>
    <w:link w:val="29"/>
    <w:qFormat/>
    <w:uiPriority w:val="0"/>
    <w:rPr>
      <w:rFonts w:ascii="Calibri" w:hAnsi="Calibri" w:eastAsia="宋体"/>
      <w:kern w:val="2"/>
      <w:sz w:val="16"/>
      <w:szCs w:val="16"/>
    </w:rPr>
  </w:style>
  <w:style w:type="character" w:customStyle="1" w:styleId="62">
    <w:name w:val="页眉 Char"/>
    <w:link w:val="25"/>
    <w:qFormat/>
    <w:uiPriority w:val="0"/>
    <w:rPr>
      <w:rFonts w:eastAsia="宋体"/>
      <w:kern w:val="2"/>
      <w:sz w:val="18"/>
    </w:rPr>
  </w:style>
  <w:style w:type="character" w:customStyle="1" w:styleId="63">
    <w:name w:val="批注框文本 Char"/>
    <w:link w:val="23"/>
    <w:qFormat/>
    <w:uiPriority w:val="0"/>
    <w:rPr>
      <w:rFonts w:eastAsia="宋体"/>
      <w:kern w:val="2"/>
      <w:sz w:val="18"/>
    </w:rPr>
  </w:style>
  <w:style w:type="character" w:customStyle="1" w:styleId="64">
    <w:name w:val="日期 Char"/>
    <w:link w:val="22"/>
    <w:qFormat/>
    <w:uiPriority w:val="0"/>
    <w:rPr>
      <w:rFonts w:eastAsia="宋体"/>
      <w:kern w:val="2"/>
      <w:sz w:val="21"/>
    </w:rPr>
  </w:style>
  <w:style w:type="paragraph" w:customStyle="1" w:styleId="65">
    <w:name w:val="Revision"/>
    <w:qFormat/>
    <w:uiPriority w:val="0"/>
    <w:rPr>
      <w:rFonts w:ascii="Times New Roman" w:hAnsi="Times New Roman" w:eastAsia="宋体" w:cs="Times New Roman"/>
      <w:kern w:val="2"/>
      <w:sz w:val="21"/>
      <w:lang w:val="en-US" w:eastAsia="zh-CN" w:bidi="ar-SA"/>
    </w:rPr>
  </w:style>
  <w:style w:type="paragraph" w:customStyle="1" w:styleId="66">
    <w:name w:val="_Style 23"/>
    <w:basedOn w:val="1"/>
    <w:qFormat/>
    <w:uiPriority w:val="0"/>
    <w:pPr>
      <w:widowControl/>
      <w:spacing w:after="160" w:line="240" w:lineRule="exact"/>
      <w:jc w:val="left"/>
    </w:pPr>
  </w:style>
  <w:style w:type="paragraph" w:customStyle="1" w:styleId="67">
    <w:name w:val="TOC Heading"/>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qFormat/>
    <w:uiPriority w:val="0"/>
    <w:rPr>
      <w:b/>
      <w:bCs/>
      <w:sz w:val="32"/>
      <w:szCs w:val="32"/>
    </w:rPr>
  </w:style>
  <w:style w:type="character" w:customStyle="1" w:styleId="69">
    <w:name w:val="标题 5 Char"/>
    <w:basedOn w:val="39"/>
    <w:link w:val="6"/>
    <w:semiHidden/>
    <w:qFormat/>
    <w:uiPriority w:val="9"/>
    <w:rPr>
      <w:rFonts w:eastAsia="宋体"/>
      <w:b/>
      <w:bCs/>
      <w:kern w:val="2"/>
      <w:sz w:val="28"/>
      <w:szCs w:val="28"/>
    </w:rPr>
  </w:style>
  <w:style w:type="character" w:customStyle="1" w:styleId="70">
    <w:name w:val="正文首行缩进 Char"/>
    <w:basedOn w:val="71"/>
    <w:link w:val="36"/>
    <w:qFormat/>
    <w:uiPriority w:val="0"/>
  </w:style>
  <w:style w:type="character" w:customStyle="1" w:styleId="71">
    <w:name w:val="正文文本 Char"/>
    <w:qFormat/>
    <w:uiPriority w:val="0"/>
    <w:rPr>
      <w:rFonts w:eastAsia="宋体"/>
      <w:kern w:val="2"/>
      <w:sz w:val="21"/>
      <w:szCs w:val="24"/>
      <w:lang w:val="en-US" w:eastAsia="zh-CN" w:bidi="ar-SA"/>
    </w:rPr>
  </w:style>
  <w:style w:type="paragraph" w:customStyle="1" w:styleId="7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qFormat/>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Char1"/>
    <w:basedOn w:val="39"/>
    <w:link w:val="16"/>
    <w:qFormat/>
    <w:uiPriority w:val="0"/>
    <w:rPr>
      <w:rFonts w:eastAsia="宋体"/>
      <w:kern w:val="2"/>
      <w:sz w:val="21"/>
    </w:rPr>
  </w:style>
  <w:style w:type="character" w:customStyle="1" w:styleId="76">
    <w:name w:val="正文首行缩进 Char1"/>
    <w:basedOn w:val="75"/>
    <w:link w:val="36"/>
    <w:qFormat/>
    <w:uiPriority w:val="99"/>
  </w:style>
  <w:style w:type="character" w:customStyle="1" w:styleId="77">
    <w:name w:val="正文文本缩进 Char"/>
    <w:basedOn w:val="39"/>
    <w:link w:val="17"/>
    <w:qFormat/>
    <w:uiPriority w:val="0"/>
    <w:rPr>
      <w:rFonts w:eastAsia="宋体"/>
      <w:kern w:val="2"/>
      <w:sz w:val="21"/>
    </w:rPr>
  </w:style>
  <w:style w:type="paragraph" w:customStyle="1" w:styleId="78">
    <w:name w:val="我的正文"/>
    <w:basedOn w:val="1"/>
    <w:qFormat/>
    <w:uiPriority w:val="0"/>
    <w:rPr>
      <w:rFonts w:ascii="宋体" w:hAnsi="宋体"/>
      <w:sz w:val="24"/>
      <w:szCs w:val="24"/>
    </w:rPr>
  </w:style>
  <w:style w:type="paragraph" w:customStyle="1" w:styleId="7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80">
    <w:name w:val="样式2"/>
    <w:basedOn w:val="4"/>
    <w:qFormat/>
    <w:uiPriority w:val="0"/>
    <w:pPr>
      <w:spacing w:line="415" w:lineRule="auto"/>
      <w:ind w:firstLine="137"/>
    </w:pPr>
    <w:rPr>
      <w:rFonts w:hAnsi="Times New Roman"/>
      <w:bCs/>
      <w:i/>
      <w:szCs w:val="28"/>
    </w:rPr>
  </w:style>
  <w:style w:type="character" w:customStyle="1" w:styleId="81">
    <w:name w:val="标题 Char"/>
    <w:basedOn w:val="39"/>
    <w:link w:val="34"/>
    <w:qFormat/>
    <w:uiPriority w:val="0"/>
    <w:rPr>
      <w:rFonts w:ascii="Arial" w:hAnsi="Arial" w:eastAsia="宋体"/>
      <w:b/>
      <w:sz w:val="32"/>
    </w:rPr>
  </w:style>
  <w:style w:type="paragraph" w:customStyle="1" w:styleId="82">
    <w:name w:val="Char1"/>
    <w:basedOn w:val="1"/>
    <w:qFormat/>
    <w:uiPriority w:val="0"/>
    <w:pPr>
      <w:tabs>
        <w:tab w:val="left" w:pos="360"/>
      </w:tabs>
    </w:pPr>
    <w:rPr>
      <w:rFonts w:ascii="Times New Roman" w:hAnsi="Times New Roman"/>
      <w:sz w:val="24"/>
      <w:szCs w:val="20"/>
    </w:rPr>
  </w:style>
  <w:style w:type="paragraph" w:customStyle="1" w:styleId="83">
    <w:name w:val="修订1"/>
    <w:qFormat/>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5"/>
    <w:qFormat/>
    <w:uiPriority w:val="0"/>
    <w:pPr>
      <w:spacing w:line="360" w:lineRule="auto"/>
      <w:ind w:firstLine="420" w:firstLineChars="200"/>
    </w:pPr>
    <w:rPr>
      <w:rFonts w:ascii="宋体" w:hAnsi="宋体"/>
      <w:szCs w:val="21"/>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88">
    <w:name w:val="1"/>
    <w:basedOn w:val="1"/>
    <w:qFormat/>
    <w:uiPriority w:val="0"/>
    <w:rPr>
      <w:rFonts w:ascii="Times New Roman" w:hAnsi="Times New Roman"/>
      <w:szCs w:val="20"/>
    </w:rPr>
  </w:style>
  <w:style w:type="paragraph" w:customStyle="1" w:styleId="89">
    <w:name w:val="表格"/>
    <w:basedOn w:val="1"/>
    <w:qFormat/>
    <w:uiPriority w:val="0"/>
    <w:pPr>
      <w:jc w:val="center"/>
      <w:textAlignment w:val="center"/>
    </w:pPr>
    <w:rPr>
      <w:rFonts w:ascii="华文细黑" w:hAnsi="华文细黑"/>
      <w:kern w:val="0"/>
      <w:szCs w:val="20"/>
    </w:rPr>
  </w:style>
  <w:style w:type="paragraph" w:customStyle="1" w:styleId="90">
    <w:name w:val="修订2"/>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0E1D6D-1FB0-42F6-820D-3A94BE2C6C2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89</Pages>
  <Words>32061</Words>
  <Characters>34592</Characters>
  <Lines>396</Lines>
  <Paragraphs>111</Paragraphs>
  <TotalTime>1</TotalTime>
  <ScaleCrop>false</ScaleCrop>
  <LinksUpToDate>false</LinksUpToDate>
  <CharactersWithSpaces>38070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hlj17</cp:lastModifiedBy>
  <cp:lastPrinted>2017-09-04T12:46:00Z</cp:lastPrinted>
  <dcterms:modified xsi:type="dcterms:W3CDTF">2023-06-07T02:27:29Z</dcterms:modified>
  <dc:title>中华人民共和国</dc:title>
  <cp:revision>501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470A125DCFB148B29780D6D57E60D48E</vt:lpwstr>
  </property>
</Properties>
</file>