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606" w:firstLineChars="5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中信银行政府电子投标保函产品信息</w:t>
      </w:r>
    </w:p>
    <w:p>
      <w:pPr>
        <w:numPr>
          <w:ilvl w:val="0"/>
          <w:numId w:val="0"/>
        </w:numPr>
        <w:ind w:firstLine="602" w:firstLineChars="200"/>
        <w:rPr>
          <w:rFonts w:hint="eastAsia" w:ascii="仿宋" w:hAnsi="仿宋" w:eastAsia="仿宋" w:cs="仿宋"/>
          <w:b/>
          <w:bCs/>
          <w:sz w:val="30"/>
          <w:szCs w:val="30"/>
          <w:lang w:val="en-US" w:eastAsia="zh-CN"/>
        </w:rPr>
      </w:pP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一、产品介绍</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信银行的“政府电子投标保函”产品，是根据政府对于电子担保保函在公共资源交易领域应用的业务要求，专门研发推出的全线上化投标保函产品。产品设计通过分离式保函原理，通过担保公司和银行的系统自动受理审批，实现在不开银行账户的情况下在线秒级开立电子投标保函至公共资源交易中心，为投标人提供安全保密、便捷高效的投标保函开立渠道。</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二、申请条件</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1、申请人依法取得有效的营业执照</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2、申请人未被列入经营异常名录</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3、申请人不存在严重违法信息</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4、申请人不为失信被执行人</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三、保函要素</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保函种类：投标保函</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保函形式：电子保函</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保函有效期限：90天（自开标之日起）</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保函保证金：无</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四、价格及收费明细</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收费价格：每笔投标保函按开立金额的0.6%收取，每笔最低收费600元。</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收费形式：该费用由投标保函申请人根据申请系统提示，通过</w:t>
      </w:r>
      <w:r>
        <w:rPr>
          <w:rFonts w:hint="eastAsia" w:ascii="仿宋" w:hAnsi="仿宋" w:eastAsia="仿宋" w:cs="仿宋"/>
          <w:sz w:val="30"/>
          <w:szCs w:val="30"/>
          <w:highlight w:val="none"/>
          <w:lang w:val="en-US" w:eastAsia="zh-CN"/>
        </w:rPr>
        <w:t>基本户转账</w:t>
      </w:r>
      <w:r>
        <w:rPr>
          <w:rFonts w:hint="eastAsia" w:ascii="仿宋" w:hAnsi="仿宋" w:eastAsia="仿宋" w:cs="仿宋"/>
          <w:sz w:val="30"/>
          <w:szCs w:val="30"/>
          <w:lang w:val="en-US" w:eastAsia="zh-CN"/>
        </w:rPr>
        <w:t>至指定的担保公司账户。</w:t>
      </w:r>
    </w:p>
    <w:p>
      <w:pPr>
        <w:numPr>
          <w:ilvl w:val="0"/>
          <w:numId w:val="0"/>
        </w:numPr>
        <w:ind w:firstLine="600" w:firstLineChars="200"/>
        <w:rPr>
          <w:rFonts w:hint="eastAsia" w:ascii="仿宋" w:hAnsi="仿宋" w:eastAsia="仿宋" w:cs="仿宋"/>
          <w:sz w:val="30"/>
          <w:szCs w:val="30"/>
          <w:highlight w:val="yellow"/>
          <w:lang w:val="en-US" w:eastAsia="zh-CN"/>
        </w:rPr>
      </w:pPr>
      <w:r>
        <w:rPr>
          <w:rFonts w:hint="eastAsia" w:ascii="仿宋" w:hAnsi="仿宋" w:eastAsia="仿宋" w:cs="仿宋"/>
          <w:sz w:val="30"/>
          <w:szCs w:val="30"/>
          <w:lang w:val="en-US" w:eastAsia="zh-CN"/>
        </w:rPr>
        <w:t>收费明细：</w:t>
      </w:r>
      <w:r>
        <w:rPr>
          <w:rFonts w:hint="eastAsia" w:ascii="仿宋" w:hAnsi="仿宋" w:eastAsia="仿宋" w:cs="仿宋"/>
          <w:sz w:val="30"/>
          <w:szCs w:val="30"/>
          <w:highlight w:val="none"/>
          <w:lang w:val="en-US" w:eastAsia="zh-CN"/>
        </w:rPr>
        <w:t>担保公司收取保函担保费用占总费用60%，银行保函手续费占总费用40%。</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退费：支持在未开标前的退费，退费形式采用线上或线下渠道。</w:t>
      </w:r>
    </w:p>
    <w:p/>
    <w:p>
      <w:pPr>
        <w:numPr>
          <w:ilvl w:val="0"/>
          <w:numId w:val="1"/>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产品优势</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中信银行开立投标保函流程简便，</w:t>
      </w:r>
      <w:r>
        <w:rPr>
          <w:rFonts w:hint="eastAsia" w:ascii="仿宋" w:hAnsi="仿宋" w:eastAsia="仿宋" w:cs="仿宋"/>
          <w:b/>
          <w:bCs/>
          <w:sz w:val="30"/>
          <w:szCs w:val="30"/>
          <w:lang w:val="en-US" w:eastAsia="zh-CN"/>
        </w:rPr>
        <w:t>无需开户、无需授信、免保证金、全流程线上极速出函</w:t>
      </w:r>
      <w:r>
        <w:rPr>
          <w:rFonts w:hint="eastAsia" w:ascii="仿宋" w:hAnsi="仿宋" w:eastAsia="仿宋" w:cs="仿宋"/>
          <w:sz w:val="30"/>
          <w:szCs w:val="30"/>
          <w:lang w:val="en-US" w:eastAsia="zh-CN"/>
        </w:rPr>
        <w:t>。</w:t>
      </w:r>
    </w:p>
    <w:p>
      <w:pPr>
        <w:numPr>
          <w:numId w:val="0"/>
        </w:numP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w:t>
      </w:r>
    </w:p>
    <w:p>
      <w:pPr>
        <w:numPr>
          <w:numId w:val="0"/>
        </w:numPr>
        <w:rPr>
          <w:rFonts w:hint="default" w:ascii="仿宋" w:hAnsi="仿宋" w:eastAsia="仿宋" w:cs="仿宋"/>
          <w:b/>
          <w:bCs/>
          <w:sz w:val="30"/>
          <w:szCs w:val="30"/>
          <w:lang w:val="en-US" w:eastAsia="zh-CN"/>
        </w:rPr>
      </w:pPr>
    </w:p>
    <w:p/>
    <w:p/>
    <w:p>
      <w:bookmarkStart w:id="0" w:name="_GoBack"/>
      <w:bookmarkEnd w:id="0"/>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E06E6"/>
    <w:multiLevelType w:val="singleLevel"/>
    <w:tmpl w:val="ACAE06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B37CB"/>
    <w:rsid w:val="0A367E3C"/>
    <w:rsid w:val="11204823"/>
    <w:rsid w:val="1C4E4D40"/>
    <w:rsid w:val="1F456BE8"/>
    <w:rsid w:val="23EA14A7"/>
    <w:rsid w:val="343F03A8"/>
    <w:rsid w:val="4EAC3BA8"/>
    <w:rsid w:val="5C6B37CB"/>
    <w:rsid w:val="5F2C6AB4"/>
    <w:rsid w:val="66AC3188"/>
    <w:rsid w:val="673D20EB"/>
    <w:rsid w:val="68983198"/>
    <w:rsid w:val="7AD60503"/>
    <w:rsid w:val="7FC0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2022-01-07T00:40:00Z</dcterms:created>
  <dc:creator>成可</dc:creator>
  <cp:lastModifiedBy>贾晓燕</cp:lastModifiedBy>
  <dcterms:modified xsi:type="dcterms:W3CDTF">2022-09-15T07:28:06Z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0950607E2D2A45BBA687F815E08AD5E8</vt:lpwstr>
  </property>
</Properties>
</file>