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仿宋" w:hAnsi="仿宋" w:eastAsia="仿宋" w:cs="仿宋"/>
          <w:color w:val="000000"/>
          <w:kern w:val="0"/>
          <w:sz w:val="52"/>
          <w:szCs w:val="52"/>
          <w:lang w:val="en-US" w:eastAsia="zh-CN" w:bidi="ar"/>
        </w:rPr>
      </w:pPr>
    </w:p>
    <w:p>
      <w:pPr>
        <w:keepNext w:val="0"/>
        <w:keepLines w:val="0"/>
        <w:widowControl/>
        <w:suppressLineNumbers w:val="0"/>
        <w:jc w:val="center"/>
        <w:rPr>
          <w:rFonts w:hint="eastAsia" w:ascii="仿宋" w:hAnsi="仿宋" w:eastAsia="仿宋" w:cs="仿宋"/>
          <w:color w:val="000000"/>
          <w:kern w:val="0"/>
          <w:sz w:val="52"/>
          <w:szCs w:val="52"/>
          <w:lang w:val="en-US" w:eastAsia="zh-CN" w:bidi="ar"/>
        </w:rPr>
      </w:pPr>
    </w:p>
    <w:p>
      <w:pPr>
        <w:keepNext w:val="0"/>
        <w:keepLines w:val="0"/>
        <w:widowControl/>
        <w:suppressLineNumbers w:val="0"/>
        <w:jc w:val="center"/>
        <w:rPr>
          <w:rFonts w:hint="eastAsia" w:ascii="仿宋" w:hAnsi="仿宋" w:eastAsia="仿宋" w:cs="仿宋"/>
          <w:color w:val="000000"/>
          <w:kern w:val="0"/>
          <w:sz w:val="52"/>
          <w:szCs w:val="52"/>
          <w:lang w:val="en-US" w:eastAsia="zh-CN" w:bidi="ar"/>
        </w:rPr>
      </w:pPr>
    </w:p>
    <w:p>
      <w:pPr>
        <w:keepNext w:val="0"/>
        <w:keepLines w:val="0"/>
        <w:widowControl/>
        <w:suppressLineNumbers w:val="0"/>
        <w:jc w:val="center"/>
        <w:rPr>
          <w:rFonts w:hint="eastAsia" w:ascii="仿宋" w:hAnsi="仿宋" w:eastAsia="仿宋" w:cs="仿宋"/>
        </w:rPr>
      </w:pPr>
      <w:r>
        <w:rPr>
          <w:rFonts w:hint="eastAsia" w:ascii="仿宋" w:hAnsi="仿宋" w:eastAsia="仿宋" w:cs="仿宋"/>
          <w:color w:val="000000"/>
          <w:kern w:val="0"/>
          <w:sz w:val="52"/>
          <w:szCs w:val="52"/>
          <w:lang w:val="en-US" w:eastAsia="zh-CN" w:bidi="ar"/>
        </w:rPr>
        <w:t>内蒙古自治区政府采购云平台</w:t>
      </w:r>
    </w:p>
    <w:p>
      <w:pPr>
        <w:keepNext w:val="0"/>
        <w:keepLines w:val="0"/>
        <w:widowControl/>
        <w:suppressLineNumbers w:val="0"/>
        <w:jc w:val="center"/>
        <w:rPr>
          <w:rFonts w:hint="eastAsia" w:ascii="仿宋" w:hAnsi="仿宋" w:eastAsia="仿宋" w:cs="仿宋"/>
        </w:rPr>
      </w:pPr>
      <w:r>
        <w:rPr>
          <w:rFonts w:hint="eastAsia" w:ascii="仿宋" w:hAnsi="仿宋" w:eastAsia="仿宋" w:cs="仿宋"/>
          <w:color w:val="000000"/>
          <w:kern w:val="0"/>
          <w:sz w:val="52"/>
          <w:szCs w:val="52"/>
          <w:lang w:val="en-US" w:eastAsia="zh-CN" w:bidi="ar"/>
        </w:rPr>
        <w:t>质疑投诉电子化裁决系统</w:t>
      </w:r>
    </w:p>
    <w:p>
      <w:pPr>
        <w:keepNext w:val="0"/>
        <w:keepLines w:val="0"/>
        <w:widowControl/>
        <w:suppressLineNumbers w:val="0"/>
        <w:jc w:val="center"/>
        <w:rPr>
          <w:rFonts w:hint="eastAsia" w:ascii="仿宋" w:hAnsi="仿宋" w:eastAsia="仿宋" w:cs="仿宋"/>
        </w:rPr>
      </w:pPr>
      <w:r>
        <w:rPr>
          <w:rFonts w:hint="eastAsia" w:ascii="仿宋" w:hAnsi="仿宋" w:eastAsia="仿宋" w:cs="仿宋"/>
          <w:color w:val="000000"/>
          <w:kern w:val="0"/>
          <w:sz w:val="55"/>
          <w:szCs w:val="55"/>
          <w:lang w:val="en-US" w:eastAsia="zh-CN" w:bidi="ar"/>
        </w:rPr>
        <w:t>在线质疑操作手册</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keepNext w:val="0"/>
        <w:keepLines w:val="0"/>
        <w:widowControl/>
        <w:suppressLineNumbers w:val="0"/>
        <w:jc w:val="center"/>
        <w:rPr>
          <w:rFonts w:hint="eastAsia" w:ascii="仿宋" w:hAnsi="仿宋" w:eastAsia="仿宋" w:cs="仿宋"/>
        </w:rPr>
      </w:pPr>
      <w:r>
        <w:rPr>
          <w:rFonts w:hint="eastAsia" w:ascii="仿宋" w:hAnsi="仿宋" w:eastAsia="仿宋" w:cs="仿宋"/>
          <w:color w:val="000000"/>
          <w:kern w:val="0"/>
          <w:sz w:val="31"/>
          <w:szCs w:val="31"/>
          <w:lang w:val="en-US" w:eastAsia="zh-CN" w:bidi="ar"/>
        </w:rPr>
        <w:t>内蒙古自治区财政厅</w:t>
      </w:r>
    </w:p>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二○二二年六月</w:t>
      </w:r>
    </w:p>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sdt>
      <w:sdtPr>
        <w:rPr>
          <w:rFonts w:hint="eastAsia" w:ascii="仿宋" w:hAnsi="仿宋" w:eastAsia="仿宋" w:cs="仿宋"/>
          <w:kern w:val="2"/>
          <w:sz w:val="21"/>
          <w:szCs w:val="24"/>
          <w:lang w:val="en-US" w:eastAsia="zh-CN" w:bidi="ar-SA"/>
        </w:rPr>
        <w:id w:val="147469015"/>
        <w15:color w:val="DBDBDB"/>
        <w:docPartObj>
          <w:docPartGallery w:val="Table of Contents"/>
          <w:docPartUnique/>
        </w:docPartObj>
      </w:sdtPr>
      <w:sdtEndPr>
        <w:rPr>
          <w:rFonts w:hint="eastAsia" w:ascii="仿宋" w:hAnsi="仿宋" w:eastAsia="仿宋" w:cs="仿宋"/>
          <w:color w:val="000000"/>
          <w:kern w:val="0"/>
          <w:sz w:val="21"/>
          <w:szCs w:val="31"/>
          <w:lang w:val="en-US" w:eastAsia="zh-CN" w:bidi="ar"/>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40"/>
              <w:szCs w:val="48"/>
            </w:rPr>
          </w:pPr>
          <w:r>
            <w:rPr>
              <w:rFonts w:hint="eastAsia" w:ascii="仿宋" w:hAnsi="仿宋" w:eastAsia="仿宋" w:cs="仿宋"/>
              <w:sz w:val="40"/>
              <w:szCs w:val="48"/>
            </w:rPr>
            <w:t>目录</w:t>
          </w:r>
        </w:p>
        <w:p>
          <w:pPr>
            <w:pStyle w:val="6"/>
            <w:tabs>
              <w:tab w:val="right" w:leader="dot" w:pos="8306"/>
            </w:tabs>
          </w:pPr>
          <w:r>
            <w:rPr>
              <w:rFonts w:hint="eastAsia" w:ascii="仿宋" w:hAnsi="仿宋" w:eastAsia="仿宋" w:cs="仿宋"/>
              <w:color w:val="000000"/>
              <w:kern w:val="0"/>
              <w:sz w:val="96"/>
              <w:szCs w:val="96"/>
              <w:lang w:val="en-US" w:eastAsia="zh-CN" w:bidi="ar"/>
            </w:rPr>
            <w:fldChar w:fldCharType="begin"/>
          </w:r>
          <w:r>
            <w:rPr>
              <w:rFonts w:hint="eastAsia" w:ascii="仿宋" w:hAnsi="仿宋" w:eastAsia="仿宋" w:cs="仿宋"/>
              <w:color w:val="000000"/>
              <w:kern w:val="0"/>
              <w:sz w:val="96"/>
              <w:szCs w:val="96"/>
              <w:lang w:val="en-US" w:eastAsia="zh-CN" w:bidi="ar"/>
            </w:rPr>
            <w:instrText xml:space="preserve">TOC \o "1-3" \h \u </w:instrText>
          </w:r>
          <w:r>
            <w:rPr>
              <w:rFonts w:hint="eastAsia" w:ascii="仿宋" w:hAnsi="仿宋" w:eastAsia="仿宋" w:cs="仿宋"/>
              <w:color w:val="000000"/>
              <w:kern w:val="0"/>
              <w:sz w:val="96"/>
              <w:szCs w:val="96"/>
              <w:lang w:val="en-US" w:eastAsia="zh-CN" w:bidi="ar"/>
            </w:rPr>
            <w:fldChar w:fldCharType="separate"/>
          </w: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_Toc21425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1. 概述</w:t>
          </w:r>
          <w:r>
            <w:tab/>
          </w:r>
          <w:r>
            <w:fldChar w:fldCharType="begin"/>
          </w:r>
          <w:r>
            <w:instrText xml:space="preserve"> PAGEREF _Toc21425 \h </w:instrText>
          </w:r>
          <w:r>
            <w:fldChar w:fldCharType="separate"/>
          </w:r>
          <w:r>
            <w:t>3</w:t>
          </w:r>
          <w:r>
            <w:fldChar w:fldCharType="end"/>
          </w:r>
          <w:r>
            <w:rPr>
              <w:rFonts w:hint="eastAsia" w:ascii="仿宋" w:hAnsi="仿宋" w:eastAsia="仿宋" w:cs="仿宋"/>
              <w:color w:val="000000"/>
              <w:kern w:val="0"/>
              <w:szCs w:val="96"/>
              <w:lang w:val="en-US" w:eastAsia="zh-CN" w:bidi="ar"/>
            </w:rPr>
            <w:fldChar w:fldCharType="end"/>
          </w:r>
        </w:p>
        <w:p>
          <w:pPr>
            <w:pStyle w:val="7"/>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_Toc16480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1.1硬件要求</w:t>
          </w:r>
          <w:r>
            <w:tab/>
          </w:r>
          <w:r>
            <w:fldChar w:fldCharType="begin"/>
          </w:r>
          <w:r>
            <w:instrText xml:space="preserve"> PAGEREF _Toc16480 \h </w:instrText>
          </w:r>
          <w:r>
            <w:fldChar w:fldCharType="separate"/>
          </w:r>
          <w:r>
            <w:t>3</w:t>
          </w:r>
          <w:r>
            <w:fldChar w:fldCharType="end"/>
          </w:r>
          <w:r>
            <w:rPr>
              <w:rFonts w:hint="eastAsia" w:ascii="仿宋" w:hAnsi="仿宋" w:eastAsia="仿宋" w:cs="仿宋"/>
              <w:color w:val="000000"/>
              <w:kern w:val="0"/>
              <w:szCs w:val="96"/>
              <w:lang w:val="en-US" w:eastAsia="zh-CN" w:bidi="ar"/>
            </w:rPr>
            <w:fldChar w:fldCharType="end"/>
          </w:r>
        </w:p>
        <w:p>
          <w:pPr>
            <w:pStyle w:val="7"/>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_Toc2107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1.2网络要求</w:t>
          </w:r>
          <w:r>
            <w:tab/>
          </w:r>
          <w:r>
            <w:fldChar w:fldCharType="begin"/>
          </w:r>
          <w:r>
            <w:instrText xml:space="preserve"> PAGEREF _Toc2107 \h </w:instrText>
          </w:r>
          <w:r>
            <w:fldChar w:fldCharType="separate"/>
          </w:r>
          <w:r>
            <w:t>3</w:t>
          </w:r>
          <w:r>
            <w:fldChar w:fldCharType="end"/>
          </w:r>
          <w:r>
            <w:rPr>
              <w:rFonts w:hint="eastAsia" w:ascii="仿宋" w:hAnsi="仿宋" w:eastAsia="仿宋" w:cs="仿宋"/>
              <w:color w:val="000000"/>
              <w:kern w:val="0"/>
              <w:szCs w:val="96"/>
              <w:lang w:val="en-US" w:eastAsia="zh-CN" w:bidi="ar"/>
            </w:rPr>
            <w:fldChar w:fldCharType="end"/>
          </w:r>
        </w:p>
        <w:p>
          <w:pPr>
            <w:pStyle w:val="6"/>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_Toc15973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2. 质疑管理</w:t>
          </w:r>
          <w:r>
            <w:tab/>
          </w:r>
          <w:r>
            <w:fldChar w:fldCharType="begin"/>
          </w:r>
          <w:r>
            <w:instrText xml:space="preserve"> PAGEREF _Toc15973 \h </w:instrText>
          </w:r>
          <w:r>
            <w:fldChar w:fldCharType="separate"/>
          </w:r>
          <w:r>
            <w:t>3</w:t>
          </w:r>
          <w:r>
            <w:fldChar w:fldCharType="end"/>
          </w:r>
          <w:r>
            <w:rPr>
              <w:rFonts w:hint="eastAsia" w:ascii="仿宋" w:hAnsi="仿宋" w:eastAsia="仿宋" w:cs="仿宋"/>
              <w:color w:val="000000"/>
              <w:kern w:val="0"/>
              <w:szCs w:val="96"/>
              <w:lang w:val="en-US" w:eastAsia="zh-CN" w:bidi="ar"/>
            </w:rPr>
            <w:fldChar w:fldCharType="end"/>
          </w:r>
        </w:p>
        <w:p>
          <w:pPr>
            <w:pStyle w:val="7"/>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_Toc3175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2.1供应商进入行政裁决-&gt;发起质疑</w:t>
          </w:r>
          <w:r>
            <w:tab/>
          </w:r>
          <w:r>
            <w:fldChar w:fldCharType="begin"/>
          </w:r>
          <w:r>
            <w:instrText xml:space="preserve"> PAGEREF _Toc3175 \h </w:instrText>
          </w:r>
          <w:r>
            <w:fldChar w:fldCharType="separate"/>
          </w:r>
          <w:r>
            <w:t>3</w:t>
          </w:r>
          <w:r>
            <w:fldChar w:fldCharType="end"/>
          </w:r>
          <w:r>
            <w:rPr>
              <w:rFonts w:hint="eastAsia" w:ascii="仿宋" w:hAnsi="仿宋" w:eastAsia="仿宋" w:cs="仿宋"/>
              <w:color w:val="000000"/>
              <w:kern w:val="0"/>
              <w:szCs w:val="96"/>
              <w:lang w:val="en-US" w:eastAsia="zh-CN" w:bidi="ar"/>
            </w:rPr>
            <w:fldChar w:fldCharType="end"/>
          </w:r>
        </w:p>
        <w:p>
          <w:pPr>
            <w:pStyle w:val="7"/>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_Toc17360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2.2质疑答复人进入行政裁决-&gt;质疑答复</w:t>
          </w:r>
          <w:r>
            <w:tab/>
          </w:r>
          <w:r>
            <w:fldChar w:fldCharType="begin"/>
          </w:r>
          <w:r>
            <w:instrText xml:space="preserve"> PAGEREF _Toc17360 \h </w:instrText>
          </w:r>
          <w:r>
            <w:fldChar w:fldCharType="separate"/>
          </w:r>
          <w:r>
            <w:t>4</w:t>
          </w:r>
          <w:r>
            <w:fldChar w:fldCharType="end"/>
          </w:r>
          <w:r>
            <w:rPr>
              <w:rFonts w:hint="eastAsia" w:ascii="仿宋" w:hAnsi="仿宋" w:eastAsia="仿宋" w:cs="仿宋"/>
              <w:color w:val="000000"/>
              <w:kern w:val="0"/>
              <w:szCs w:val="96"/>
              <w:lang w:val="en-US" w:eastAsia="zh-CN" w:bidi="ar"/>
            </w:rPr>
            <w:fldChar w:fldCharType="end"/>
          </w:r>
        </w:p>
        <w:p>
          <w:pPr>
            <w:pStyle w:val="7"/>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_Toc8311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2.3供应商进入行政裁决-&gt;查看质疑答复</w:t>
          </w:r>
          <w:r>
            <w:tab/>
          </w:r>
          <w:r>
            <w:fldChar w:fldCharType="begin"/>
          </w:r>
          <w:r>
            <w:instrText xml:space="preserve"> PAGEREF _Toc8311 \h </w:instrText>
          </w:r>
          <w:r>
            <w:fldChar w:fldCharType="separate"/>
          </w:r>
          <w:r>
            <w:t>5</w:t>
          </w:r>
          <w:r>
            <w:fldChar w:fldCharType="end"/>
          </w:r>
          <w:r>
            <w:rPr>
              <w:rFonts w:hint="eastAsia" w:ascii="仿宋" w:hAnsi="仿宋" w:eastAsia="仿宋" w:cs="仿宋"/>
              <w:color w:val="000000"/>
              <w:kern w:val="0"/>
              <w:szCs w:val="96"/>
              <w:lang w:val="en-US" w:eastAsia="zh-CN" w:bidi="ar"/>
            </w:rPr>
            <w:fldChar w:fldCharType="end"/>
          </w:r>
        </w:p>
        <w:p>
          <w:pPr>
            <w:pStyle w:val="6"/>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_Toc3153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3. 投诉管理</w:t>
          </w:r>
          <w:r>
            <w:tab/>
          </w:r>
          <w:r>
            <w:fldChar w:fldCharType="begin"/>
          </w:r>
          <w:r>
            <w:instrText xml:space="preserve"> PAGEREF _Toc3153 \h </w:instrText>
          </w:r>
          <w:r>
            <w:fldChar w:fldCharType="separate"/>
          </w:r>
          <w:r>
            <w:t>6</w:t>
          </w:r>
          <w:r>
            <w:fldChar w:fldCharType="end"/>
          </w:r>
          <w:r>
            <w:rPr>
              <w:rFonts w:hint="eastAsia" w:ascii="仿宋" w:hAnsi="仿宋" w:eastAsia="仿宋" w:cs="仿宋"/>
              <w:color w:val="000000"/>
              <w:kern w:val="0"/>
              <w:szCs w:val="96"/>
              <w:lang w:val="en-US" w:eastAsia="zh-CN" w:bidi="ar"/>
            </w:rPr>
            <w:fldChar w:fldCharType="end"/>
          </w:r>
        </w:p>
        <w:p>
          <w:pPr>
            <w:pStyle w:val="7"/>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_Toc25602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3.1在线提交投诉</w:t>
          </w:r>
          <w:r>
            <w:tab/>
          </w:r>
          <w:r>
            <w:fldChar w:fldCharType="begin"/>
          </w:r>
          <w:r>
            <w:instrText xml:space="preserve"> PAGEREF _Toc25602 \h </w:instrText>
          </w:r>
          <w:r>
            <w:fldChar w:fldCharType="separate"/>
          </w:r>
          <w:r>
            <w:t>6</w:t>
          </w:r>
          <w:r>
            <w:fldChar w:fldCharType="end"/>
          </w:r>
          <w:r>
            <w:rPr>
              <w:rFonts w:hint="eastAsia" w:ascii="仿宋" w:hAnsi="仿宋" w:eastAsia="仿宋" w:cs="仿宋"/>
              <w:color w:val="000000"/>
              <w:kern w:val="0"/>
              <w:szCs w:val="96"/>
              <w:lang w:val="en-US" w:eastAsia="zh-CN" w:bidi="ar"/>
            </w:rPr>
            <w:fldChar w:fldCharType="end"/>
          </w:r>
        </w:p>
        <w:p>
          <w:pPr>
            <w:pStyle w:val="7"/>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_Toc26915 </w:instrText>
          </w:r>
          <w:r>
            <w:rPr>
              <w:rFonts w:hint="eastAsia" w:ascii="仿宋" w:hAnsi="仿宋" w:eastAsia="仿宋" w:cs="仿宋"/>
              <w:kern w:val="0"/>
              <w:szCs w:val="96"/>
              <w:lang w:val="en-US" w:eastAsia="zh-CN" w:bidi="ar"/>
            </w:rPr>
            <w:fldChar w:fldCharType="separate"/>
          </w:r>
          <w:r>
            <w:rPr>
              <w:rFonts w:hint="eastAsia" w:ascii="仿宋" w:hAnsi="仿宋" w:eastAsia="仿宋" w:cs="仿宋"/>
              <w:lang w:val="en-US" w:eastAsia="zh-CN"/>
            </w:rPr>
            <w:t>3.2投诉终端机</w:t>
          </w:r>
          <w:r>
            <w:tab/>
          </w:r>
          <w:r>
            <w:fldChar w:fldCharType="begin"/>
          </w:r>
          <w:r>
            <w:instrText xml:space="preserve"> PAGEREF _Toc26915 \h </w:instrText>
          </w:r>
          <w:r>
            <w:fldChar w:fldCharType="separate"/>
          </w:r>
          <w:r>
            <w:t>8</w:t>
          </w:r>
          <w:r>
            <w:fldChar w:fldCharType="end"/>
          </w:r>
          <w:r>
            <w:rPr>
              <w:rFonts w:hint="eastAsia" w:ascii="仿宋" w:hAnsi="仿宋" w:eastAsia="仿宋" w:cs="仿宋"/>
              <w:color w:val="000000"/>
              <w:kern w:val="0"/>
              <w:szCs w:val="96"/>
              <w:lang w:val="en-US" w:eastAsia="zh-CN" w:bidi="ar"/>
            </w:rPr>
            <w:fldChar w:fldCharType="end"/>
          </w:r>
        </w:p>
        <w:p>
          <w:pPr>
            <w:pStyle w:val="6"/>
            <w:tabs>
              <w:tab w:val="right" w:leader="dot" w:pos="8306"/>
            </w:tabs>
          </w:pPr>
          <w:r>
            <w:rPr>
              <w:rFonts w:hint="eastAsia" w:ascii="仿宋" w:hAnsi="仿宋" w:eastAsia="仿宋" w:cs="仿宋"/>
              <w:color w:val="000000"/>
              <w:kern w:val="0"/>
              <w:szCs w:val="96"/>
              <w:lang w:val="en-US" w:eastAsia="zh-CN" w:bidi="ar"/>
            </w:rPr>
            <w:fldChar w:fldCharType="begin"/>
          </w:r>
          <w:r>
            <w:rPr>
              <w:rFonts w:hint="eastAsia" w:ascii="仿宋" w:hAnsi="仿宋" w:eastAsia="仿宋" w:cs="仿宋"/>
              <w:kern w:val="0"/>
              <w:szCs w:val="96"/>
              <w:lang w:val="en-US" w:eastAsia="zh-CN" w:bidi="ar"/>
            </w:rPr>
            <w:instrText xml:space="preserve"> HYPERLINK \l _Toc23381 </w:instrText>
          </w:r>
          <w:r>
            <w:rPr>
              <w:rFonts w:hint="eastAsia" w:ascii="仿宋" w:hAnsi="仿宋" w:eastAsia="仿宋" w:cs="仿宋"/>
              <w:kern w:val="0"/>
              <w:szCs w:val="96"/>
              <w:lang w:val="en-US" w:eastAsia="zh-CN" w:bidi="ar"/>
            </w:rPr>
            <w:fldChar w:fldCharType="separate"/>
          </w:r>
          <w:r>
            <w:rPr>
              <w:rFonts w:hint="default" w:ascii="仿宋" w:hAnsi="仿宋" w:eastAsia="仿宋" w:cs="仿宋"/>
              <w:lang w:val="en-US" w:eastAsia="zh-CN"/>
            </w:rPr>
            <w:t xml:space="preserve">4. </w:t>
          </w:r>
          <w:r>
            <w:rPr>
              <w:rFonts w:hint="eastAsia" w:ascii="仿宋" w:hAnsi="仿宋" w:eastAsia="仿宋" w:cs="仿宋"/>
              <w:lang w:val="en-US" w:eastAsia="zh-CN"/>
            </w:rPr>
            <w:t>温馨提示</w:t>
          </w:r>
          <w:r>
            <w:tab/>
          </w:r>
          <w:r>
            <w:fldChar w:fldCharType="begin"/>
          </w:r>
          <w:r>
            <w:instrText xml:space="preserve"> PAGEREF _Toc23381 \h </w:instrText>
          </w:r>
          <w:r>
            <w:fldChar w:fldCharType="separate"/>
          </w:r>
          <w:r>
            <w:t>15</w:t>
          </w:r>
          <w:r>
            <w:fldChar w:fldCharType="end"/>
          </w:r>
          <w:r>
            <w:rPr>
              <w:rFonts w:hint="eastAsia" w:ascii="仿宋" w:hAnsi="仿宋" w:eastAsia="仿宋" w:cs="仿宋"/>
              <w:color w:val="000000"/>
              <w:kern w:val="0"/>
              <w:szCs w:val="96"/>
              <w:lang w:val="en-US" w:eastAsia="zh-CN" w:bidi="ar"/>
            </w:rPr>
            <w:fldChar w:fldCharType="end"/>
          </w:r>
        </w:p>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Cs w:val="96"/>
              <w:lang w:val="en-US" w:eastAsia="zh-CN" w:bidi="ar"/>
            </w:rPr>
            <w:fldChar w:fldCharType="end"/>
          </w:r>
        </w:p>
      </w:sdtContent>
    </w:sdt>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p>
      <w:pPr>
        <w:pStyle w:val="2"/>
        <w:keepNext w:val="0"/>
        <w:keepLines/>
        <w:pageBreakBefore/>
        <w:widowControl w:val="0"/>
        <w:numPr>
          <w:ilvl w:val="0"/>
          <w:numId w:val="1"/>
        </w:numPr>
        <w:kinsoku/>
        <w:wordWrap/>
        <w:overflowPunct/>
        <w:topLinePunct w:val="0"/>
        <w:autoSpaceDE/>
        <w:autoSpaceDN/>
        <w:bidi w:val="0"/>
        <w:adjustRightInd/>
        <w:snapToGrid/>
        <w:textAlignment w:val="auto"/>
        <w:rPr>
          <w:rFonts w:hint="eastAsia" w:ascii="仿宋" w:hAnsi="仿宋" w:eastAsia="仿宋" w:cs="仿宋"/>
          <w:lang w:val="en-US" w:eastAsia="zh-CN"/>
        </w:rPr>
        <w:sectPr>
          <w:headerReference r:id="rId3" w:type="default"/>
          <w:pgSz w:w="11906" w:h="16838"/>
          <w:pgMar w:top="1440" w:right="1800" w:bottom="1440" w:left="1800" w:header="851" w:footer="992" w:gutter="0"/>
          <w:pgNumType w:fmt="decimal"/>
          <w:cols w:space="425" w:num="1"/>
          <w:titlePg/>
          <w:docGrid w:type="lines" w:linePitch="312" w:charSpace="0"/>
        </w:sectPr>
      </w:pPr>
    </w:p>
    <w:p>
      <w:pPr>
        <w:pStyle w:val="2"/>
        <w:keepNext w:val="0"/>
        <w:keepLines/>
        <w:pageBreakBefore/>
        <w:widowControl w:val="0"/>
        <w:numPr>
          <w:ilvl w:val="0"/>
          <w:numId w:val="1"/>
        </w:numPr>
        <w:kinsoku/>
        <w:wordWrap/>
        <w:overflowPunct/>
        <w:topLinePunct w:val="0"/>
        <w:autoSpaceDE/>
        <w:autoSpaceDN/>
        <w:bidi w:val="0"/>
        <w:adjustRightInd/>
        <w:snapToGrid/>
        <w:textAlignment w:val="auto"/>
        <w:rPr>
          <w:rFonts w:hint="eastAsia" w:ascii="仿宋" w:hAnsi="仿宋" w:eastAsia="仿宋" w:cs="仿宋"/>
          <w:lang w:val="en-US" w:eastAsia="zh-CN"/>
        </w:rPr>
      </w:pPr>
      <w:bookmarkStart w:id="0" w:name="_Toc21425"/>
      <w:r>
        <w:rPr>
          <w:rFonts w:hint="eastAsia" w:ascii="仿宋" w:hAnsi="仿宋" w:eastAsia="仿宋" w:cs="仿宋"/>
          <w:lang w:val="en-US" w:eastAsia="zh-CN"/>
        </w:rPr>
        <w:t>概述</w:t>
      </w:r>
      <w:bookmarkEnd w:id="0"/>
    </w:p>
    <w:p>
      <w:pPr>
        <w:pStyle w:val="3"/>
        <w:bidi w:val="0"/>
        <w:rPr>
          <w:rFonts w:hint="eastAsia" w:ascii="仿宋" w:hAnsi="仿宋" w:eastAsia="仿宋" w:cs="仿宋"/>
          <w:lang w:val="en-US" w:eastAsia="zh-CN"/>
        </w:rPr>
      </w:pPr>
      <w:bookmarkStart w:id="1" w:name="_Toc16480"/>
      <w:r>
        <w:rPr>
          <w:rFonts w:hint="eastAsia" w:ascii="仿宋" w:hAnsi="仿宋" w:eastAsia="仿宋" w:cs="仿宋"/>
          <w:lang w:val="en-US" w:eastAsia="zh-CN"/>
        </w:rPr>
        <w:t>1.1硬件要求</w:t>
      </w:r>
      <w:bookmarkEnd w:id="1"/>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投诉终端机</w:t>
      </w:r>
    </w:p>
    <w:p>
      <w:pPr>
        <w:pStyle w:val="3"/>
        <w:bidi w:val="0"/>
        <w:rPr>
          <w:rFonts w:hint="eastAsia" w:ascii="仿宋" w:hAnsi="仿宋" w:eastAsia="仿宋" w:cs="仿宋"/>
          <w:lang w:val="en-US" w:eastAsia="zh-CN"/>
        </w:rPr>
      </w:pPr>
      <w:bookmarkStart w:id="2" w:name="_Toc2107"/>
      <w:r>
        <w:rPr>
          <w:rFonts w:hint="eastAsia" w:ascii="仿宋" w:hAnsi="仿宋" w:eastAsia="仿宋" w:cs="仿宋"/>
          <w:lang w:val="en-US" w:eastAsia="zh-CN"/>
        </w:rPr>
        <w:t>1.2网络要求</w:t>
      </w:r>
      <w:bookmarkEnd w:id="2"/>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投诉终端机网络连接正常。</w:t>
      </w:r>
    </w:p>
    <w:p>
      <w:pPr>
        <w:pStyle w:val="2"/>
        <w:numPr>
          <w:ilvl w:val="0"/>
          <w:numId w:val="1"/>
        </w:numPr>
        <w:bidi w:val="0"/>
        <w:rPr>
          <w:rFonts w:hint="eastAsia" w:ascii="仿宋" w:hAnsi="仿宋" w:eastAsia="仿宋" w:cs="仿宋"/>
          <w:lang w:val="en-US" w:eastAsia="zh-CN"/>
        </w:rPr>
      </w:pPr>
      <w:bookmarkStart w:id="3" w:name="_Toc15973"/>
      <w:r>
        <w:rPr>
          <w:rFonts w:hint="eastAsia" w:ascii="仿宋" w:hAnsi="仿宋" w:eastAsia="仿宋" w:cs="仿宋"/>
          <w:lang w:val="en-US" w:eastAsia="zh-CN"/>
        </w:rPr>
        <w:t>质疑管理</w:t>
      </w:r>
      <w:bookmarkEnd w:id="3"/>
    </w:p>
    <w:p>
      <w:pPr>
        <w:pStyle w:val="3"/>
        <w:bidi w:val="0"/>
        <w:rPr>
          <w:rFonts w:hint="eastAsia" w:ascii="仿宋" w:hAnsi="仿宋" w:eastAsia="仿宋" w:cs="仿宋"/>
          <w:lang w:val="en-US" w:eastAsia="zh-CN"/>
        </w:rPr>
      </w:pPr>
      <w:bookmarkStart w:id="4" w:name="_Toc3175"/>
      <w:r>
        <w:rPr>
          <w:rFonts w:hint="eastAsia" w:ascii="仿宋" w:hAnsi="仿宋" w:eastAsia="仿宋" w:cs="仿宋"/>
          <w:lang w:val="en-US" w:eastAsia="zh-CN"/>
        </w:rPr>
        <w:t>2.1供应商进入行政裁决-&gt;发起质疑</w:t>
      </w:r>
      <w:bookmarkEnd w:id="4"/>
    </w:p>
    <w:p>
      <w:pPr>
        <w:ind w:firstLine="480" w:firstLineChars="200"/>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供应商登录政府采购云平台，点击【行政裁决】功能。</w:t>
      </w:r>
    </w:p>
    <w:p>
      <w:r>
        <w:drawing>
          <wp:inline distT="0" distB="0" distL="114300" distR="114300">
            <wp:extent cx="5264785" cy="2997835"/>
            <wp:effectExtent l="0" t="0" r="571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4785" cy="299783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进入行政裁决功能后，点击发起质疑，再点击右侧的【新增】按钮。填写如下图所示的内容后，点击保存和提交功能，即可完成在线质疑。点击提交按钮，则会将质疑内容提交至对应的答复人的政府采购云平台账号之中，并且向答复人在系统中预留的手机号码发送短信提示。</w:t>
      </w:r>
    </w:p>
    <w:p>
      <w:pPr>
        <w:numPr>
          <w:ilvl w:val="0"/>
          <w:numId w:val="0"/>
        </w:numPr>
      </w:pPr>
      <w:r>
        <w:drawing>
          <wp:inline distT="0" distB="0" distL="114300" distR="114300">
            <wp:extent cx="5267325" cy="3021965"/>
            <wp:effectExtent l="0" t="0" r="3175"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7325" cy="3021965"/>
                    </a:xfrm>
                    <a:prstGeom prst="rect">
                      <a:avLst/>
                    </a:prstGeom>
                    <a:noFill/>
                    <a:ln>
                      <a:noFill/>
                    </a:ln>
                  </pic:spPr>
                </pic:pic>
              </a:graphicData>
            </a:graphic>
          </wp:inline>
        </w:drawing>
      </w:r>
    </w:p>
    <w:p>
      <w:pPr>
        <w:numPr>
          <w:ilvl w:val="0"/>
          <w:numId w:val="0"/>
        </w:numPr>
        <w:rPr>
          <w:rFonts w:hint="eastAsia"/>
          <w:lang w:val="en-US" w:eastAsia="zh-CN"/>
        </w:rPr>
      </w:pPr>
    </w:p>
    <w:p>
      <w:pPr>
        <w:pStyle w:val="3"/>
        <w:bidi w:val="0"/>
        <w:rPr>
          <w:rFonts w:hint="eastAsia" w:ascii="仿宋" w:hAnsi="仿宋" w:eastAsia="仿宋" w:cs="仿宋"/>
          <w:lang w:val="en-US" w:eastAsia="zh-CN"/>
        </w:rPr>
      </w:pPr>
      <w:bookmarkStart w:id="5" w:name="_Toc17360"/>
      <w:r>
        <w:rPr>
          <w:rFonts w:hint="eastAsia" w:ascii="仿宋" w:hAnsi="仿宋" w:eastAsia="仿宋" w:cs="仿宋"/>
          <w:lang w:val="en-US" w:eastAsia="zh-CN"/>
        </w:rPr>
        <w:t>2.2质疑答复人进入行政裁决-&gt;质疑答复</w:t>
      </w:r>
      <w:bookmarkEnd w:id="5"/>
    </w:p>
    <w:p>
      <w:pPr>
        <w:spacing w:line="360" w:lineRule="auto"/>
        <w:ind w:firstLine="480" w:firstLineChars="200"/>
      </w:pPr>
      <w:r>
        <w:rPr>
          <w:rFonts w:hint="eastAsia" w:ascii="仿宋" w:hAnsi="仿宋" w:eastAsia="仿宋" w:cs="仿宋"/>
          <w:sz w:val="24"/>
          <w:szCs w:val="32"/>
          <w:lang w:val="en-US" w:eastAsia="zh-CN"/>
        </w:rPr>
        <w:t>质疑答复人登录政府采购云平台，进入行政裁决功能后，点击质疑答复功能，找到对应的数据，点击处理按钮，即可进行在线质疑答复。</w:t>
      </w:r>
    </w:p>
    <w:p>
      <w:pPr>
        <w:spacing w:line="360" w:lineRule="auto"/>
        <w:rPr>
          <w:rFonts w:hint="eastAsia" w:ascii="仿宋" w:hAnsi="仿宋" w:eastAsia="仿宋" w:cs="仿宋"/>
          <w:sz w:val="24"/>
          <w:szCs w:val="32"/>
          <w:lang w:val="en-US" w:eastAsia="zh-CN"/>
        </w:rPr>
      </w:pPr>
      <w:r>
        <w:drawing>
          <wp:inline distT="0" distB="0" distL="114300" distR="114300">
            <wp:extent cx="5267960" cy="2593975"/>
            <wp:effectExtent l="0" t="0" r="254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67960" cy="259397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tab/>
      </w:r>
      <w:r>
        <w:rPr>
          <w:rFonts w:hint="eastAsia" w:ascii="仿宋" w:hAnsi="仿宋" w:eastAsia="仿宋" w:cs="仿宋"/>
          <w:sz w:val="24"/>
          <w:szCs w:val="32"/>
          <w:lang w:val="en-US" w:eastAsia="zh-CN"/>
        </w:rPr>
        <w:t>质疑答复人在处理界面中，首先应该详细查看质疑函的内容，然后需要在“质疑回复函”的界面中，填写对应的答复内容：“质疑答复”、“事实依据”、“法律依据”、“其他说明”。</w:t>
      </w:r>
    </w:p>
    <w:p>
      <w:pPr>
        <w:spacing w:line="360" w:lineRule="auto"/>
      </w:pPr>
      <w:r>
        <w:drawing>
          <wp:inline distT="0" distB="0" distL="114300" distR="114300">
            <wp:extent cx="5264150" cy="2969260"/>
            <wp:effectExtent l="0" t="0" r="6350" b="25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5264150" cy="2969260"/>
                    </a:xfrm>
                    <a:prstGeom prst="rect">
                      <a:avLst/>
                    </a:prstGeom>
                    <a:noFill/>
                    <a:ln>
                      <a:noFill/>
                    </a:ln>
                  </pic:spPr>
                </pic:pic>
              </a:graphicData>
            </a:graphic>
          </wp:inline>
        </w:drawing>
      </w:r>
    </w:p>
    <w:p>
      <w:pPr>
        <w:spacing w:line="360" w:lineRule="auto"/>
      </w:pPr>
      <w:r>
        <w:drawing>
          <wp:inline distT="0" distB="0" distL="114300" distR="114300">
            <wp:extent cx="5271135" cy="3015615"/>
            <wp:effectExtent l="0" t="0" r="12065" b="69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0"/>
                    <a:stretch>
                      <a:fillRect/>
                    </a:stretch>
                  </pic:blipFill>
                  <pic:spPr>
                    <a:xfrm>
                      <a:off x="0" y="0"/>
                      <a:ext cx="5271135" cy="301561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填写完毕后，点击【提交】功能，即为完成本次质疑答复，供应商可在提交质疑的功能中的“已提交”界面，查看本次答复的内容。</w:t>
      </w:r>
    </w:p>
    <w:p>
      <w:pPr>
        <w:spacing w:line="360" w:lineRule="auto"/>
        <w:ind w:firstLine="480" w:firstLineChars="200"/>
        <w:rPr>
          <w:rFonts w:hint="default" w:ascii="仿宋" w:hAnsi="仿宋" w:eastAsia="仿宋" w:cs="仿宋"/>
          <w:sz w:val="24"/>
          <w:szCs w:val="32"/>
          <w:lang w:val="en-US" w:eastAsia="zh-CN"/>
        </w:rPr>
      </w:pPr>
    </w:p>
    <w:p>
      <w:pPr>
        <w:pStyle w:val="3"/>
        <w:bidi w:val="0"/>
        <w:rPr>
          <w:rFonts w:hint="eastAsia" w:ascii="仿宋" w:hAnsi="仿宋" w:eastAsia="仿宋" w:cs="仿宋"/>
          <w:lang w:val="en-US" w:eastAsia="zh-CN"/>
        </w:rPr>
      </w:pPr>
      <w:bookmarkStart w:id="6" w:name="_Toc8311"/>
      <w:r>
        <w:rPr>
          <w:rFonts w:hint="eastAsia" w:ascii="仿宋" w:hAnsi="仿宋" w:eastAsia="仿宋" w:cs="仿宋"/>
          <w:lang w:val="en-US" w:eastAsia="zh-CN"/>
        </w:rPr>
        <w:t>2.3供应商进入行政裁决-&gt;查看质疑答复</w:t>
      </w:r>
      <w:bookmarkEnd w:id="6"/>
    </w:p>
    <w:p>
      <w:pPr>
        <w:spacing w:line="360" w:lineRule="auto"/>
        <w:ind w:firstLine="480" w:firstLineChars="200"/>
        <w:rPr>
          <w:rFonts w:hint="default"/>
          <w:lang w:val="en-US"/>
        </w:rPr>
      </w:pPr>
      <w:r>
        <w:rPr>
          <w:rFonts w:hint="eastAsia" w:ascii="仿宋" w:hAnsi="仿宋" w:eastAsia="仿宋" w:cs="仿宋"/>
          <w:sz w:val="24"/>
          <w:szCs w:val="32"/>
          <w:lang w:val="en-US" w:eastAsia="zh-CN"/>
        </w:rPr>
        <w:t>供应商登录政府采购云平台，进入行政裁决功能后，点击发起质疑功能，点击“已提交”界面，找到已答复的内容，点击右侧【查阅】按钮，即可查看。</w:t>
      </w:r>
    </w:p>
    <w:p>
      <w:pPr>
        <w:spacing w:line="360" w:lineRule="auto"/>
      </w:pPr>
      <w:r>
        <w:drawing>
          <wp:inline distT="0" distB="0" distL="114300" distR="114300">
            <wp:extent cx="5273675" cy="2276475"/>
            <wp:effectExtent l="0" t="0" r="9525"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1"/>
                    <a:stretch>
                      <a:fillRect/>
                    </a:stretch>
                  </pic:blipFill>
                  <pic:spPr>
                    <a:xfrm>
                      <a:off x="0" y="0"/>
                      <a:ext cx="5273675" cy="2276475"/>
                    </a:xfrm>
                    <a:prstGeom prst="rect">
                      <a:avLst/>
                    </a:prstGeom>
                    <a:noFill/>
                    <a:ln>
                      <a:noFill/>
                    </a:ln>
                  </pic:spPr>
                </pic:pic>
              </a:graphicData>
            </a:graphic>
          </wp:inline>
        </w:drawing>
      </w:r>
    </w:p>
    <w:p>
      <w:pPr>
        <w:spacing w:line="360" w:lineRule="auto"/>
      </w:pPr>
      <w:r>
        <w:drawing>
          <wp:inline distT="0" distB="0" distL="114300" distR="114300">
            <wp:extent cx="5264150" cy="2683510"/>
            <wp:effectExtent l="0" t="0" r="6350" b="889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2"/>
                    <a:stretch>
                      <a:fillRect/>
                    </a:stretch>
                  </pic:blipFill>
                  <pic:spPr>
                    <a:xfrm>
                      <a:off x="0" y="0"/>
                      <a:ext cx="5264150" cy="2683510"/>
                    </a:xfrm>
                    <a:prstGeom prst="rect">
                      <a:avLst/>
                    </a:prstGeom>
                    <a:noFill/>
                    <a:ln>
                      <a:noFill/>
                    </a:ln>
                  </pic:spPr>
                </pic:pic>
              </a:graphicData>
            </a:graphic>
          </wp:inline>
        </w:drawing>
      </w:r>
    </w:p>
    <w:p>
      <w:pPr>
        <w:spacing w:line="360" w:lineRule="auto"/>
      </w:pPr>
    </w:p>
    <w:p>
      <w:pPr>
        <w:spacing w:line="360" w:lineRule="auto"/>
      </w:pPr>
    </w:p>
    <w:p>
      <w:pPr>
        <w:pStyle w:val="2"/>
        <w:numPr>
          <w:ilvl w:val="0"/>
          <w:numId w:val="1"/>
        </w:numPr>
        <w:bidi w:val="0"/>
        <w:rPr>
          <w:rFonts w:hint="eastAsia" w:ascii="仿宋" w:hAnsi="仿宋" w:eastAsia="仿宋" w:cs="仿宋"/>
          <w:lang w:val="en-US" w:eastAsia="zh-CN"/>
        </w:rPr>
      </w:pPr>
      <w:bookmarkStart w:id="7" w:name="_Toc3153"/>
      <w:r>
        <w:rPr>
          <w:rFonts w:hint="eastAsia" w:ascii="仿宋" w:hAnsi="仿宋" w:eastAsia="仿宋" w:cs="仿宋"/>
          <w:lang w:val="en-US" w:eastAsia="zh-CN"/>
        </w:rPr>
        <w:t>投诉管理</w:t>
      </w:r>
      <w:bookmarkEnd w:id="7"/>
    </w:p>
    <w:p>
      <w:pPr>
        <w:pStyle w:val="3"/>
        <w:bidi w:val="0"/>
        <w:rPr>
          <w:rFonts w:hint="eastAsia" w:ascii="仿宋" w:hAnsi="仿宋" w:eastAsia="仿宋" w:cs="仿宋"/>
          <w:lang w:val="en-US" w:eastAsia="zh-CN"/>
        </w:rPr>
      </w:pPr>
      <w:bookmarkStart w:id="8" w:name="_Toc5003"/>
      <w:bookmarkStart w:id="9" w:name="_Toc25602"/>
      <w:r>
        <w:rPr>
          <w:rFonts w:hint="eastAsia" w:ascii="仿宋" w:hAnsi="仿宋" w:eastAsia="仿宋" w:cs="仿宋"/>
          <w:lang w:val="en-US" w:eastAsia="zh-CN"/>
        </w:rPr>
        <w:t>3.1</w:t>
      </w:r>
      <w:bookmarkEnd w:id="8"/>
      <w:r>
        <w:rPr>
          <w:rFonts w:hint="eastAsia" w:ascii="仿宋" w:hAnsi="仿宋" w:eastAsia="仿宋" w:cs="仿宋"/>
          <w:lang w:val="en-US" w:eastAsia="zh-CN"/>
        </w:rPr>
        <w:t>在线提交投诉</w:t>
      </w:r>
      <w:bookmarkEnd w:id="9"/>
    </w:p>
    <w:p>
      <w:pPr>
        <w:spacing w:line="360" w:lineRule="auto"/>
        <w:ind w:firstLine="480" w:firstLineChars="200"/>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投诉人可登录政府采购云平台，使用投诉登记管理功能，点击【投诉登记】按钮。新增投诉申请的内容，如下图所示：</w:t>
      </w:r>
    </w:p>
    <w:p>
      <w:pPr>
        <w:spacing w:line="360" w:lineRule="auto"/>
      </w:pPr>
      <w:r>
        <w:drawing>
          <wp:inline distT="0" distB="0" distL="114300" distR="114300">
            <wp:extent cx="5271135" cy="2499360"/>
            <wp:effectExtent l="0" t="0" r="1206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1135" cy="2499360"/>
                    </a:xfrm>
                    <a:prstGeom prst="rect">
                      <a:avLst/>
                    </a:prstGeom>
                    <a:noFill/>
                    <a:ln>
                      <a:noFill/>
                    </a:ln>
                  </pic:spPr>
                </pic:pic>
              </a:graphicData>
            </a:graphic>
          </wp:inline>
        </w:drawing>
      </w:r>
    </w:p>
    <w:p>
      <w:pPr>
        <w:spacing w:line="360" w:lineRule="auto"/>
        <w:rPr>
          <w:rFonts w:hint="default"/>
          <w:lang w:val="en-US" w:eastAsia="zh-CN"/>
        </w:rPr>
      </w:pPr>
      <w:r>
        <w:rPr>
          <w:rFonts w:hint="eastAsia" w:ascii="仿宋" w:hAnsi="仿宋" w:eastAsia="仿宋" w:cs="仿宋"/>
          <w:sz w:val="24"/>
          <w:szCs w:val="32"/>
          <w:lang w:val="en-US" w:eastAsia="zh-CN"/>
        </w:rPr>
        <w:t>投诉人点击【投诉登记】按钮后，按照对应的区划进行选择，如下图所示：</w:t>
      </w:r>
    </w:p>
    <w:p>
      <w:pPr>
        <w:jc w:val="center"/>
      </w:pPr>
      <w:r>
        <w:drawing>
          <wp:inline distT="0" distB="0" distL="114300" distR="114300">
            <wp:extent cx="5270500" cy="2849880"/>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70500" cy="2849880"/>
                    </a:xfrm>
                    <a:prstGeom prst="rect">
                      <a:avLst/>
                    </a:prstGeom>
                    <a:noFill/>
                    <a:ln>
                      <a:noFill/>
                    </a:ln>
                  </pic:spPr>
                </pic:pic>
              </a:graphicData>
            </a:graphic>
          </wp:inline>
        </w:drawing>
      </w:r>
    </w:p>
    <w:p>
      <w:pPr>
        <w:spacing w:line="360" w:lineRule="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投诉人进行必要的身份登记和手机验证，完毕后点击下一步，如下图所示：</w:t>
      </w:r>
    </w:p>
    <w:p>
      <w:pPr>
        <w:jc w:val="center"/>
      </w:pPr>
      <w:r>
        <w:drawing>
          <wp:inline distT="0" distB="0" distL="114300" distR="114300">
            <wp:extent cx="5264785" cy="2304415"/>
            <wp:effectExtent l="0" t="0" r="5715"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264785" cy="2304415"/>
                    </a:xfrm>
                    <a:prstGeom prst="rect">
                      <a:avLst/>
                    </a:prstGeom>
                    <a:noFill/>
                    <a:ln>
                      <a:noFill/>
                    </a:ln>
                  </pic:spPr>
                </pic:pic>
              </a:graphicData>
            </a:graphic>
          </wp:inline>
        </w:drawing>
      </w:r>
    </w:p>
    <w:p>
      <w:pPr>
        <w:jc w:val="center"/>
      </w:pPr>
    </w:p>
    <w:p>
      <w:pPr>
        <w:jc w:val="center"/>
      </w:pPr>
    </w:p>
    <w:p>
      <w:pPr>
        <w:spacing w:line="360" w:lineRule="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投诉人进行必要的身份登记后，进入登记界面，如下图所示：</w:t>
      </w:r>
    </w:p>
    <w:p>
      <w:pPr>
        <w:spacing w:line="360" w:lineRule="auto"/>
      </w:pPr>
      <w:r>
        <w:rPr>
          <w:rFonts w:hint="eastAsia" w:ascii="仿宋" w:hAnsi="仿宋" w:eastAsia="仿宋" w:cs="仿宋"/>
          <w:sz w:val="24"/>
          <w:szCs w:val="32"/>
          <w:lang w:val="en-US" w:eastAsia="zh-CN"/>
        </w:rPr>
        <w:drawing>
          <wp:inline distT="0" distB="0" distL="114300" distR="114300">
            <wp:extent cx="5270500" cy="2973705"/>
            <wp:effectExtent l="0" t="0" r="0" b="10795"/>
            <wp:docPr id="7" name="图片 7" descr="165450397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4503973881"/>
                    <pic:cNvPicPr>
                      <a:picLocks noChangeAspect="1"/>
                    </pic:cNvPicPr>
                  </pic:nvPicPr>
                  <pic:blipFill>
                    <a:blip r:embed="rId16"/>
                    <a:stretch>
                      <a:fillRect/>
                    </a:stretch>
                  </pic:blipFill>
                  <pic:spPr>
                    <a:xfrm>
                      <a:off x="0" y="0"/>
                      <a:ext cx="5270500" cy="2973705"/>
                    </a:xfrm>
                    <a:prstGeom prst="rect">
                      <a:avLst/>
                    </a:prstGeom>
                  </pic:spPr>
                </pic:pic>
              </a:graphicData>
            </a:graphic>
          </wp:inline>
        </w:drawing>
      </w:r>
      <w:r>
        <w:drawing>
          <wp:inline distT="0" distB="0" distL="114300" distR="114300">
            <wp:extent cx="5264150" cy="2812415"/>
            <wp:effectExtent l="0" t="0" r="6350"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264150" cy="2812415"/>
                    </a:xfrm>
                    <a:prstGeom prst="rect">
                      <a:avLst/>
                    </a:prstGeom>
                    <a:noFill/>
                    <a:ln>
                      <a:noFill/>
                    </a:ln>
                  </pic:spPr>
                </pic:pic>
              </a:graphicData>
            </a:graphic>
          </wp:inline>
        </w:drawing>
      </w:r>
    </w:p>
    <w:p>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登记完毕后，点击右上角的【</w:t>
      </w:r>
      <w:bookmarkStart w:id="14" w:name="_GoBack"/>
      <w:bookmarkEnd w:id="14"/>
      <w:r>
        <w:rPr>
          <w:rFonts w:hint="eastAsia" w:ascii="仿宋" w:hAnsi="仿宋" w:eastAsia="仿宋" w:cs="仿宋"/>
          <w:sz w:val="24"/>
          <w:szCs w:val="32"/>
          <w:lang w:val="en-US" w:eastAsia="zh-CN"/>
        </w:rPr>
        <w:t>提交】按钮，即可将投诉登记内容，提交到对应的政府采购监管部门。</w:t>
      </w:r>
    </w:p>
    <w:p>
      <w:pPr>
        <w:spacing w:line="360" w:lineRule="auto"/>
        <w:rPr>
          <w:rFonts w:hint="default" w:ascii="仿宋" w:hAnsi="仿宋" w:eastAsia="仿宋" w:cs="仿宋"/>
          <w:sz w:val="24"/>
          <w:szCs w:val="32"/>
          <w:lang w:val="en-US" w:eastAsia="zh-CN"/>
        </w:rPr>
      </w:pPr>
    </w:p>
    <w:p>
      <w:pPr>
        <w:pStyle w:val="3"/>
        <w:bidi w:val="0"/>
        <w:rPr>
          <w:rFonts w:hint="eastAsia" w:ascii="仿宋" w:hAnsi="仿宋" w:eastAsia="仿宋" w:cs="仿宋"/>
          <w:lang w:val="en-US" w:eastAsia="zh-CN"/>
        </w:rPr>
      </w:pPr>
      <w:bookmarkStart w:id="10" w:name="_Toc26915"/>
      <w:r>
        <w:rPr>
          <w:rFonts w:hint="eastAsia" w:ascii="仿宋" w:hAnsi="仿宋" w:eastAsia="仿宋" w:cs="仿宋"/>
          <w:lang w:val="en-US" w:eastAsia="zh-CN"/>
        </w:rPr>
        <w:t>3.2投诉终端机</w:t>
      </w:r>
      <w:bookmarkEnd w:id="10"/>
    </w:p>
    <w:p>
      <w:pPr>
        <w:ind w:firstLine="480" w:firstLineChars="20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供应商也可在投诉终端机进行政府采购投诉登记，终端首页分主要功能和辅助功能，主要功能包括投诉登记、进度查询；辅助功能包括关注公众号、联系运维、填报说明、政策法规等，界面如下图所示：</w:t>
      </w:r>
    </w:p>
    <w:p>
      <w:pPr>
        <w:jc w:val="center"/>
        <w:rPr>
          <w:rFonts w:hint="eastAsia" w:ascii="仿宋" w:hAnsi="仿宋" w:eastAsia="仿宋" w:cs="仿宋"/>
        </w:rPr>
      </w:pPr>
      <w:r>
        <w:rPr>
          <w:rFonts w:hint="eastAsia" w:ascii="仿宋" w:hAnsi="仿宋" w:eastAsia="仿宋" w:cs="仿宋"/>
        </w:rPr>
        <w:drawing>
          <wp:inline distT="0" distB="0" distL="114300" distR="114300">
            <wp:extent cx="5266690" cy="2658110"/>
            <wp:effectExtent l="0" t="0" r="1016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5266690" cy="2658110"/>
                    </a:xfrm>
                    <a:prstGeom prst="rect">
                      <a:avLst/>
                    </a:prstGeom>
                    <a:noFill/>
                    <a:ln>
                      <a:noFill/>
                    </a:ln>
                  </pic:spPr>
                </pic:pic>
              </a:graphicData>
            </a:graphic>
          </wp:inline>
        </w:drawing>
      </w:r>
    </w:p>
    <w:p>
      <w:pPr>
        <w:bidi w:val="0"/>
        <w:rPr>
          <w:rFonts w:hint="eastAsia"/>
          <w:lang w:val="en-US" w:eastAsia="zh-CN"/>
        </w:rPr>
      </w:pPr>
      <w:bookmarkStart w:id="11" w:name="_Toc12673"/>
      <w:r>
        <w:rPr>
          <w:rFonts w:hint="eastAsia"/>
          <w:lang w:val="en-US" w:eastAsia="zh-CN"/>
        </w:rPr>
        <w:t>（1）投诉申请</w:t>
      </w:r>
      <w:bookmarkEnd w:id="11"/>
    </w:p>
    <w:p>
      <w:pPr>
        <w:spacing w:line="360" w:lineRule="auto"/>
        <w:ind w:firstLine="480" w:firstLineChars="200"/>
        <w:rPr>
          <w:rFonts w:hint="eastAsia" w:ascii="仿宋" w:hAnsi="仿宋" w:eastAsia="仿宋" w:cs="仿宋"/>
        </w:rPr>
      </w:pPr>
      <w:r>
        <w:rPr>
          <w:rFonts w:hint="eastAsia" w:ascii="仿宋" w:hAnsi="仿宋" w:eastAsia="仿宋" w:cs="仿宋"/>
          <w:sz w:val="24"/>
          <w:szCs w:val="32"/>
          <w:lang w:val="en-US" w:eastAsia="zh-CN"/>
        </w:rPr>
        <w:t>供应商可在投诉终端机进行政府采购投诉登记，点击【投诉登记】模块，进入选择区划页面，界面如下图所示：</w:t>
      </w:r>
    </w:p>
    <w:p>
      <w:pPr>
        <w:jc w:val="center"/>
        <w:rPr>
          <w:rFonts w:hint="eastAsia" w:ascii="仿宋" w:hAnsi="仿宋" w:eastAsia="仿宋" w:cs="仿宋"/>
        </w:rPr>
      </w:pPr>
      <w:r>
        <w:drawing>
          <wp:inline distT="0" distB="0" distL="114300" distR="114300">
            <wp:extent cx="5266690" cy="2962910"/>
            <wp:effectExtent l="0" t="0" r="10160" b="889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sz w:val="24"/>
          <w:szCs w:val="32"/>
          <w:lang w:val="en-US" w:eastAsia="zh-CN"/>
        </w:rPr>
        <w:t>选择区划后，点击【下一页】按钮，进入认证模式选择页面，点击【返回首页】按钮，返回终端首页页面，界面如下图所示：</w:t>
      </w:r>
    </w:p>
    <w:p>
      <w:pPr>
        <w:jc w:val="center"/>
        <w:rPr>
          <w:rFonts w:hint="eastAsia" w:ascii="仿宋" w:hAnsi="仿宋" w:eastAsia="仿宋" w:cs="仿宋"/>
          <w:lang w:val="en-US" w:eastAsia="zh-CN"/>
        </w:rPr>
      </w:pPr>
      <w:r>
        <w:rPr>
          <w:rFonts w:hint="eastAsia" w:ascii="仿宋" w:hAnsi="仿宋" w:eastAsia="仿宋" w:cs="仿宋"/>
        </w:rPr>
        <w:drawing>
          <wp:inline distT="0" distB="0" distL="114300" distR="114300">
            <wp:extent cx="5272405" cy="2618740"/>
            <wp:effectExtent l="9525" t="9525" r="21590" b="234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5272405" cy="2618740"/>
                    </a:xfrm>
                    <a:prstGeom prst="rect">
                      <a:avLst/>
                    </a:prstGeom>
                    <a:noFill/>
                    <a:ln>
                      <a:solidFill>
                        <a:schemeClr val="bg1">
                          <a:lumMod val="75000"/>
                        </a:schemeClr>
                      </a:solidFill>
                    </a:ln>
                  </pic:spPr>
                </pic:pic>
              </a:graphicData>
            </a:graphic>
          </wp:inline>
        </w:drawing>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可选择获取身份信息模式或录入身份信息模式，选择后，即可进入对应的认证页面；点击【上一页】按钮，进入区划选择页面；点击【返回首页】按钮，返回终端首页页面。</w:t>
      </w:r>
    </w:p>
    <w:p>
      <w:pPr>
        <w:spacing w:line="360" w:lineRule="auto"/>
        <w:jc w:val="left"/>
        <w:rPr>
          <w:rFonts w:hint="eastAsia" w:ascii="仿宋" w:hAnsi="仿宋" w:eastAsia="仿宋" w:cs="仿宋"/>
          <w:sz w:val="24"/>
          <w:szCs w:val="32"/>
          <w:lang w:val="en-US" w:eastAsia="zh-CN"/>
        </w:rPr>
      </w:pPr>
      <w:r>
        <w:drawing>
          <wp:inline distT="0" distB="0" distL="114300" distR="114300">
            <wp:extent cx="5266690" cy="2962910"/>
            <wp:effectExtent l="0" t="0" r="10160" b="889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jc w:val="center"/>
        <w:rPr>
          <w:rFonts w:hint="eastAsia" w:ascii="仿宋" w:hAnsi="仿宋" w:eastAsia="仿宋" w:cs="仿宋"/>
          <w:lang w:val="en-US" w:eastAsia="zh-CN"/>
        </w:rPr>
      </w:pPr>
      <w:r>
        <w:drawing>
          <wp:inline distT="0" distB="0" distL="114300" distR="114300">
            <wp:extent cx="5266690" cy="2962910"/>
            <wp:effectExtent l="0" t="0" r="10160" b="889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sz w:val="24"/>
          <w:szCs w:val="32"/>
          <w:lang w:val="en-US" w:eastAsia="zh-CN"/>
        </w:rPr>
        <w:t>可录入身份信息，输入身份信息及验证码后，点击【上一页】按钮，进入区划选择页面；点击【下一页】按钮，进入投诉案件的申请信息填写页面；点击【返回首页】按钮，返回终端首页页面，界面如下图所示：</w:t>
      </w:r>
    </w:p>
    <w:p>
      <w:pPr>
        <w:jc w:val="center"/>
        <w:rPr>
          <w:rFonts w:hint="eastAsia" w:ascii="仿宋" w:hAnsi="仿宋" w:eastAsia="仿宋" w:cs="仿宋"/>
          <w:lang w:val="en-US" w:eastAsia="zh-CN"/>
        </w:rPr>
      </w:pPr>
      <w:r>
        <w:drawing>
          <wp:inline distT="0" distB="0" distL="114300" distR="114300">
            <wp:extent cx="5266690" cy="2962910"/>
            <wp:effectExtent l="0" t="0" r="1016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lang w:val="en-US"/>
        </w:rPr>
      </w:pPr>
      <w:r>
        <w:rPr>
          <w:rFonts w:hint="eastAsia" w:ascii="仿宋" w:hAnsi="仿宋" w:eastAsia="仿宋" w:cs="仿宋"/>
          <w:sz w:val="24"/>
          <w:szCs w:val="32"/>
          <w:lang w:val="en-US" w:eastAsia="zh-CN"/>
        </w:rPr>
        <w:t>可录入投诉信息主体内容，包括投诉人主体信息，选择被投诉人信息，及相关供应商信息。</w:t>
      </w:r>
    </w:p>
    <w:p>
      <w:pPr>
        <w:jc w:val="center"/>
        <w:rPr>
          <w:rFonts w:hint="eastAsia" w:ascii="仿宋" w:hAnsi="仿宋" w:eastAsia="仿宋" w:cs="仿宋"/>
        </w:rPr>
      </w:pPr>
      <w:r>
        <w:drawing>
          <wp:inline distT="0" distB="0" distL="114300" distR="114300">
            <wp:extent cx="5266690" cy="2962910"/>
            <wp:effectExtent l="0" t="0" r="1016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rPr>
      </w:pPr>
      <w:r>
        <w:rPr>
          <w:rFonts w:hint="eastAsia" w:ascii="仿宋" w:hAnsi="仿宋" w:eastAsia="仿宋" w:cs="仿宋"/>
          <w:sz w:val="24"/>
          <w:szCs w:val="32"/>
          <w:lang w:val="en-US" w:eastAsia="zh-CN"/>
        </w:rPr>
        <w:t>可录入投诉项目的基本信息，包括项目编号、项目名称、包号、项目金额、采购方式、采购人、代理机构、采购文件是否公告、采购结果是否公告等相关信息。</w:t>
      </w:r>
    </w:p>
    <w:p>
      <w:pPr>
        <w:jc w:val="center"/>
        <w:rPr>
          <w:rFonts w:hint="eastAsia" w:ascii="仿宋" w:hAnsi="仿宋" w:eastAsia="仿宋" w:cs="仿宋"/>
        </w:rPr>
      </w:pPr>
      <w:r>
        <w:drawing>
          <wp:inline distT="0" distB="0" distL="114300" distR="114300">
            <wp:extent cx="5266690" cy="2962910"/>
            <wp:effectExtent l="0" t="0" r="10160"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lang w:val="en-US"/>
        </w:rPr>
      </w:pPr>
      <w:r>
        <w:rPr>
          <w:rFonts w:hint="eastAsia" w:ascii="仿宋" w:hAnsi="仿宋" w:eastAsia="仿宋" w:cs="仿宋"/>
          <w:sz w:val="24"/>
          <w:szCs w:val="32"/>
          <w:lang w:val="en-US" w:eastAsia="zh-CN"/>
        </w:rPr>
        <w:t>可录入质疑的基本信息，包括质疑时间、质疑事项、质疑答复人、质疑答复时间、质疑答复情况等。</w:t>
      </w:r>
    </w:p>
    <w:p>
      <w:pPr>
        <w:jc w:val="center"/>
        <w:rPr>
          <w:rFonts w:hint="eastAsia" w:ascii="仿宋" w:hAnsi="仿宋" w:eastAsia="仿宋" w:cs="仿宋"/>
        </w:rPr>
      </w:pPr>
      <w:r>
        <w:drawing>
          <wp:inline distT="0" distB="0" distL="114300" distR="114300">
            <wp:extent cx="5266690" cy="2962910"/>
            <wp:effectExtent l="0" t="0" r="10160"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rPr>
      </w:pPr>
      <w:r>
        <w:rPr>
          <w:rFonts w:hint="eastAsia" w:ascii="仿宋" w:hAnsi="仿宋" w:eastAsia="仿宋" w:cs="仿宋"/>
          <w:sz w:val="24"/>
          <w:szCs w:val="32"/>
          <w:lang w:val="en-US" w:eastAsia="zh-CN"/>
        </w:rPr>
        <w:t>可填写投诉事项，包括投诉事项、事实依据、法律依据等信息，投诉事项可以填写多条。</w:t>
      </w:r>
    </w:p>
    <w:p>
      <w:pPr>
        <w:jc w:val="center"/>
        <w:rPr>
          <w:rFonts w:hint="eastAsia" w:ascii="仿宋" w:hAnsi="仿宋" w:eastAsia="仿宋" w:cs="仿宋"/>
          <w:lang w:val="en-US" w:eastAsia="zh-CN"/>
        </w:rPr>
      </w:pPr>
      <w:r>
        <w:drawing>
          <wp:inline distT="0" distB="0" distL="114300" distR="114300">
            <wp:extent cx="5266690" cy="2962910"/>
            <wp:effectExtent l="0" t="0" r="10160" b="889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可录入投诉请求，填写投诉请求信息。</w:t>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填写完投诉登记所需的全部信息并检查无误后，可点击【提交投诉】按钮，可提交投诉登记，页面返回终端首页页面；点击【取消投诉】按钮，即可放弃此次投诉申请，页面返回终端首页页面；点击【上一页】按钮，页面返回身份认证页面。</w:t>
      </w:r>
    </w:p>
    <w:p>
      <w:pPr>
        <w:bidi w:val="0"/>
        <w:rPr>
          <w:rFonts w:hint="eastAsia"/>
          <w:lang w:val="en-US" w:eastAsia="zh-CN"/>
        </w:rPr>
      </w:pPr>
      <w:bookmarkStart w:id="12" w:name="_Toc23273"/>
      <w:r>
        <w:rPr>
          <w:rFonts w:hint="eastAsia"/>
          <w:lang w:val="en-US" w:eastAsia="zh-CN"/>
        </w:rPr>
        <w:t>2、进度查询</w:t>
      </w:r>
      <w:bookmarkEnd w:id="12"/>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sz w:val="24"/>
          <w:szCs w:val="32"/>
          <w:lang w:val="en-US" w:eastAsia="zh-CN"/>
        </w:rPr>
        <w:t>供应商可在投诉终端机进行政府采购投诉处理进度查询，点击【进度查询】模块，进入查询方式页面，界面如下图所示：</w:t>
      </w:r>
    </w:p>
    <w:p>
      <w:pPr>
        <w:spacing w:line="360" w:lineRule="auto"/>
        <w:rPr>
          <w:rFonts w:hint="eastAsia" w:ascii="仿宋" w:hAnsi="仿宋" w:eastAsia="仿宋" w:cs="仿宋"/>
          <w:sz w:val="24"/>
          <w:szCs w:val="32"/>
          <w:lang w:val="en-US" w:eastAsia="zh-CN"/>
        </w:rPr>
      </w:pPr>
      <w:r>
        <w:rPr>
          <w:rFonts w:hint="eastAsia" w:ascii="仿宋" w:hAnsi="仿宋" w:eastAsia="仿宋" w:cs="仿宋"/>
        </w:rPr>
        <w:drawing>
          <wp:inline distT="0" distB="0" distL="114300" distR="114300">
            <wp:extent cx="5265420" cy="2628265"/>
            <wp:effectExtent l="0" t="0" r="7620" b="825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8"/>
                    <a:stretch>
                      <a:fillRect/>
                    </a:stretch>
                  </pic:blipFill>
                  <pic:spPr>
                    <a:xfrm>
                      <a:off x="0" y="0"/>
                      <a:ext cx="5265420" cy="262826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sz w:val="24"/>
          <w:szCs w:val="32"/>
          <w:lang w:val="en-US" w:eastAsia="zh-CN"/>
        </w:rPr>
        <w:t>可选择身份证查询、受理号查询或手机号查询，选择后，即可进入对应的查询输入页面；点击【上一步】按钮，进入终端首页页面；点击【返回首页】按钮，返回终端首页页面。</w:t>
      </w:r>
    </w:p>
    <w:p>
      <w:pPr>
        <w:jc w:val="center"/>
        <w:rPr>
          <w:rFonts w:hint="eastAsia" w:ascii="仿宋" w:hAnsi="仿宋" w:eastAsia="仿宋" w:cs="仿宋"/>
        </w:rPr>
      </w:pPr>
    </w:p>
    <w:p>
      <w:pPr>
        <w:jc w:val="center"/>
        <w:rPr>
          <w:rFonts w:hint="eastAsia" w:ascii="仿宋" w:hAnsi="仿宋" w:eastAsia="仿宋" w:cs="仿宋"/>
          <w:lang w:val="en-US" w:eastAsia="zh-CN"/>
        </w:rPr>
      </w:pPr>
      <w:r>
        <w:rPr>
          <w:rFonts w:hint="eastAsia" w:ascii="仿宋" w:hAnsi="仿宋" w:eastAsia="仿宋" w:cs="仿宋"/>
        </w:rPr>
        <w:drawing>
          <wp:inline distT="0" distB="0" distL="114300" distR="114300">
            <wp:extent cx="5273040" cy="2633345"/>
            <wp:effectExtent l="9525" t="9525" r="20955" b="2413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9"/>
                    <a:stretch>
                      <a:fillRect/>
                    </a:stretch>
                  </pic:blipFill>
                  <pic:spPr>
                    <a:xfrm>
                      <a:off x="0" y="0"/>
                      <a:ext cx="5273040" cy="2633345"/>
                    </a:xfrm>
                    <a:prstGeom prst="rect">
                      <a:avLst/>
                    </a:prstGeom>
                    <a:noFill/>
                    <a:ln>
                      <a:solidFill>
                        <a:schemeClr val="bg1">
                          <a:lumMod val="75000"/>
                        </a:schemeClr>
                      </a:solidFill>
                    </a:ln>
                  </pic:spPr>
                </pic:pic>
              </a:graphicData>
            </a:graphic>
          </wp:inline>
        </w:drawing>
      </w:r>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sz w:val="24"/>
          <w:szCs w:val="32"/>
          <w:lang w:val="en-US" w:eastAsia="zh-CN"/>
        </w:rPr>
        <w:t>填写需要查询案件的手机号或受理号后，点击查询，即可进入对应的案件查询结果页面；点击【上一步】按钮，进入查询方式页面；点击【返回首页】按钮，返回终端首页页面，界面如下图所示：</w:t>
      </w:r>
    </w:p>
    <w:p>
      <w:pPr>
        <w:jc w:val="center"/>
        <w:rPr>
          <w:rFonts w:hint="eastAsia" w:ascii="仿宋" w:hAnsi="仿宋" w:eastAsia="仿宋" w:cs="仿宋"/>
          <w:lang w:val="en-US" w:eastAsia="zh-CN"/>
        </w:rPr>
      </w:pPr>
      <w:r>
        <w:rPr>
          <w:rFonts w:hint="eastAsia" w:ascii="仿宋" w:hAnsi="仿宋" w:eastAsia="仿宋" w:cs="仿宋"/>
        </w:rPr>
        <w:drawing>
          <wp:inline distT="0" distB="0" distL="114300" distR="114300">
            <wp:extent cx="5269865" cy="2322830"/>
            <wp:effectExtent l="0" t="0" r="3175" b="889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0"/>
                    <a:stretch>
                      <a:fillRect/>
                    </a:stretch>
                  </pic:blipFill>
                  <pic:spPr>
                    <a:xfrm>
                      <a:off x="0" y="0"/>
                      <a:ext cx="5269865" cy="2322830"/>
                    </a:xfrm>
                    <a:prstGeom prst="rect">
                      <a:avLst/>
                    </a:prstGeom>
                    <a:noFill/>
                    <a:ln>
                      <a:solidFill>
                        <a:schemeClr val="bg1">
                          <a:lumMod val="75000"/>
                        </a:schemeClr>
                      </a:solidFill>
                    </a:ln>
                  </pic:spPr>
                </pic:pic>
              </a:graphicData>
            </a:graphic>
          </wp:inline>
        </w:drawing>
      </w:r>
    </w:p>
    <w:p>
      <w:p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可对投诉案件可查看案件进度，点击对应的案件可查看投诉案件的进度情况。</w:t>
      </w:r>
    </w:p>
    <w:p>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点击【上一步】按钮，进入投诉案件页面；点击【返回首页】按钮，返回终端首页页面。</w:t>
      </w:r>
    </w:p>
    <w:p>
      <w:pPr>
        <w:jc w:val="center"/>
        <w:rPr>
          <w:rFonts w:hint="eastAsia" w:ascii="仿宋" w:hAnsi="仿宋" w:eastAsia="仿宋" w:cs="仿宋"/>
          <w:lang w:val="en-US" w:eastAsia="zh-CN"/>
        </w:rPr>
      </w:pPr>
    </w:p>
    <w:p>
      <w:pPr>
        <w:ind w:firstLine="480" w:firstLineChars="200"/>
        <w:jc w:val="both"/>
        <w:rPr>
          <w:rFonts w:hint="eastAsia" w:ascii="仿宋" w:hAnsi="仿宋" w:eastAsia="仿宋" w:cs="仿宋"/>
          <w:sz w:val="24"/>
          <w:szCs w:val="32"/>
          <w:lang w:val="en-US" w:eastAsia="zh-CN"/>
        </w:rPr>
      </w:pPr>
    </w:p>
    <w:p>
      <w:pPr>
        <w:jc w:val="both"/>
        <w:rPr>
          <w:rFonts w:hint="eastAsia" w:ascii="仿宋" w:hAnsi="仿宋" w:eastAsia="仿宋" w:cs="仿宋"/>
          <w:sz w:val="24"/>
          <w:szCs w:val="32"/>
          <w:lang w:val="en-US" w:eastAsia="zh-CN"/>
        </w:rPr>
      </w:pPr>
    </w:p>
    <w:p>
      <w:pPr>
        <w:pStyle w:val="2"/>
        <w:numPr>
          <w:ilvl w:val="0"/>
          <w:numId w:val="1"/>
        </w:numPr>
        <w:bidi w:val="0"/>
        <w:rPr>
          <w:rFonts w:hint="default" w:ascii="仿宋" w:hAnsi="仿宋" w:eastAsia="仿宋" w:cs="仿宋"/>
          <w:lang w:val="en-US" w:eastAsia="zh-CN"/>
        </w:rPr>
      </w:pPr>
      <w:bookmarkStart w:id="13" w:name="_Toc23381"/>
      <w:r>
        <w:rPr>
          <w:rFonts w:hint="eastAsia" w:ascii="仿宋" w:hAnsi="仿宋" w:eastAsia="仿宋" w:cs="仿宋"/>
          <w:lang w:val="en-US" w:eastAsia="zh-CN"/>
        </w:rPr>
        <w:t>温馨提示</w:t>
      </w:r>
      <w:bookmarkEnd w:id="13"/>
    </w:p>
    <w:p>
      <w:pPr>
        <w:ind w:firstLine="480" w:firstLineChars="200"/>
        <w:jc w:val="both"/>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如质疑供应商或投诉人无法在系统中提出质疑或提起投诉的，仍可采取现场提交、邮寄等方式进行质疑投诉。</w:t>
      </w:r>
    </w:p>
    <w:sectPr>
      <w:footerReference r:id="rId4" w:type="default"/>
      <w:pgSz w:w="11906" w:h="16838"/>
      <w:pgMar w:top="1440" w:right="1800" w:bottom="1440" w:left="1800" w:header="851" w:footer="992" w:gutter="0"/>
      <w:pgNumType w:fmt="decimal" w:start="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pBdr>
        <w:bottom w:val="none" w:color="auto" w:sz="0" w:space="0"/>
      </w:pBdr>
      <w:jc w:val="center"/>
      <w:rPr>
        <w:sz w:val="18"/>
        <w:szCs w:val="18"/>
      </w:rPr>
    </w:pPr>
    <w:r>
      <w:rPr>
        <w:rFonts w:hint="eastAsia" w:ascii="宋体" w:hAnsi="宋体" w:eastAsia="宋体" w:cs="宋体"/>
        <w:color w:val="000000"/>
        <w:kern w:val="0"/>
        <w:sz w:val="18"/>
        <w:szCs w:val="18"/>
        <w:lang w:val="en-US" w:eastAsia="zh-CN" w:bidi="ar"/>
      </w:rPr>
      <w:t>内蒙古自治区政府采购云平台质疑投诉电子化裁决系统供应商操作手册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DC2C1"/>
    <w:multiLevelType w:val="singleLevel"/>
    <w:tmpl w:val="800DC2C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003D0404"/>
    <w:rsid w:val="0169167D"/>
    <w:rsid w:val="02BD1557"/>
    <w:rsid w:val="04501B47"/>
    <w:rsid w:val="067024F8"/>
    <w:rsid w:val="088945C3"/>
    <w:rsid w:val="09CE3BFF"/>
    <w:rsid w:val="0A746845"/>
    <w:rsid w:val="0BA674FD"/>
    <w:rsid w:val="0F1E2854"/>
    <w:rsid w:val="0F4A1448"/>
    <w:rsid w:val="11066A16"/>
    <w:rsid w:val="14D7044C"/>
    <w:rsid w:val="154F3E15"/>
    <w:rsid w:val="197F6173"/>
    <w:rsid w:val="19A6699D"/>
    <w:rsid w:val="19B619C0"/>
    <w:rsid w:val="1A4D4CD2"/>
    <w:rsid w:val="1B504F10"/>
    <w:rsid w:val="1BA64C58"/>
    <w:rsid w:val="1CBC47FF"/>
    <w:rsid w:val="1E427ECD"/>
    <w:rsid w:val="1FCA3CF6"/>
    <w:rsid w:val="21182F2F"/>
    <w:rsid w:val="21837C00"/>
    <w:rsid w:val="21F819A3"/>
    <w:rsid w:val="22764316"/>
    <w:rsid w:val="246D1D90"/>
    <w:rsid w:val="25C1361E"/>
    <w:rsid w:val="26610E4A"/>
    <w:rsid w:val="27D205EC"/>
    <w:rsid w:val="287503D7"/>
    <w:rsid w:val="2ABA62ED"/>
    <w:rsid w:val="2ACD0453"/>
    <w:rsid w:val="2B0903BC"/>
    <w:rsid w:val="2C681E24"/>
    <w:rsid w:val="2CFF0199"/>
    <w:rsid w:val="2DAF6E45"/>
    <w:rsid w:val="305F5F61"/>
    <w:rsid w:val="30A13E86"/>
    <w:rsid w:val="316125F5"/>
    <w:rsid w:val="32FC32DF"/>
    <w:rsid w:val="331E0810"/>
    <w:rsid w:val="34705B7E"/>
    <w:rsid w:val="37E658AF"/>
    <w:rsid w:val="37F67BB6"/>
    <w:rsid w:val="389912BB"/>
    <w:rsid w:val="3932410B"/>
    <w:rsid w:val="39507E85"/>
    <w:rsid w:val="39640D10"/>
    <w:rsid w:val="3C191783"/>
    <w:rsid w:val="3CA87BCE"/>
    <w:rsid w:val="3CC10349"/>
    <w:rsid w:val="3DDA57F6"/>
    <w:rsid w:val="3F060F3B"/>
    <w:rsid w:val="40692863"/>
    <w:rsid w:val="410613B6"/>
    <w:rsid w:val="41A04EE1"/>
    <w:rsid w:val="421B7645"/>
    <w:rsid w:val="439A5CC5"/>
    <w:rsid w:val="450F69C4"/>
    <w:rsid w:val="45BC5811"/>
    <w:rsid w:val="46A77A10"/>
    <w:rsid w:val="477372F2"/>
    <w:rsid w:val="498B5AFF"/>
    <w:rsid w:val="499F0DB5"/>
    <w:rsid w:val="4A315F97"/>
    <w:rsid w:val="4AE662B0"/>
    <w:rsid w:val="4CA45FCB"/>
    <w:rsid w:val="4FFE13BE"/>
    <w:rsid w:val="526B3999"/>
    <w:rsid w:val="53394FC7"/>
    <w:rsid w:val="5400561B"/>
    <w:rsid w:val="54522375"/>
    <w:rsid w:val="58705590"/>
    <w:rsid w:val="598C2524"/>
    <w:rsid w:val="5A144CBB"/>
    <w:rsid w:val="5BB56B61"/>
    <w:rsid w:val="5DAE00EC"/>
    <w:rsid w:val="5F7E6A88"/>
    <w:rsid w:val="5F823661"/>
    <w:rsid w:val="60CB0211"/>
    <w:rsid w:val="637875DB"/>
    <w:rsid w:val="67F72F65"/>
    <w:rsid w:val="68885488"/>
    <w:rsid w:val="6A0C7949"/>
    <w:rsid w:val="6A9E6B3E"/>
    <w:rsid w:val="6C6F4E42"/>
    <w:rsid w:val="6E1E00BC"/>
    <w:rsid w:val="6E5940BA"/>
    <w:rsid w:val="6F572934"/>
    <w:rsid w:val="70713684"/>
    <w:rsid w:val="717A2E89"/>
    <w:rsid w:val="75237BA0"/>
    <w:rsid w:val="759A0F74"/>
    <w:rsid w:val="77515C91"/>
    <w:rsid w:val="77A72B32"/>
    <w:rsid w:val="78A0719B"/>
    <w:rsid w:val="78C21209"/>
    <w:rsid w:val="7A5A5B50"/>
    <w:rsid w:val="7BDC5BCE"/>
    <w:rsid w:val="7D2667BF"/>
    <w:rsid w:val="7D6907C7"/>
    <w:rsid w:val="7D72647C"/>
    <w:rsid w:val="7EB90C54"/>
    <w:rsid w:val="7EDE7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仿宋"/>
      <w:b/>
      <w:sz w:val="32"/>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618</Words>
  <Characters>646</Characters>
  <Lines>0</Lines>
  <Paragraphs>0</Paragraphs>
  <TotalTime>1</TotalTime>
  <ScaleCrop>false</ScaleCrop>
  <LinksUpToDate>false</LinksUpToDate>
  <CharactersWithSpaces>671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2020-10-15T02:53:00Z</dcterms:created>
  <dc:creator>zl</dc:creator>
  <cp:lastModifiedBy>苏敏</cp:lastModifiedBy>
  <dcterms:modified xsi:type="dcterms:W3CDTF">2022-07-20T01:02:09Z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D7AE08551F4542719EA351F717467D82</vt:lpwstr>
  </property>
</Properties>
</file>